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D7040" w14:textId="512A72B3" w:rsidR="00F23AE8" w:rsidRPr="007F05B6" w:rsidRDefault="007F05B6" w:rsidP="007F05B6">
      <w:pPr>
        <w:rPr>
          <w:b/>
          <w:bCs/>
          <w:u w:val="single"/>
        </w:rPr>
      </w:pPr>
      <w:r w:rsidRPr="007F05B6">
        <w:rPr>
          <w:b/>
          <w:bCs/>
          <w:u w:val="single"/>
        </w:rPr>
        <w:t xml:space="preserve">Webinar Script: </w:t>
      </w:r>
      <w:r w:rsidR="00FD3F6C" w:rsidRPr="007F05B6">
        <w:rPr>
          <w:b/>
          <w:bCs/>
          <w:u w:val="single"/>
        </w:rPr>
        <w:t>Strategies</w:t>
      </w:r>
      <w:r w:rsidR="00184C6C" w:rsidRPr="007F05B6">
        <w:rPr>
          <w:b/>
          <w:bCs/>
          <w:u w:val="single"/>
        </w:rPr>
        <w:t xml:space="preserve"> </w:t>
      </w:r>
      <w:r w:rsidR="00FD3F6C" w:rsidRPr="007F05B6">
        <w:rPr>
          <w:b/>
          <w:bCs/>
          <w:u w:val="single"/>
        </w:rPr>
        <w:t>to</w:t>
      </w:r>
      <w:r w:rsidR="00F23AE8" w:rsidRPr="007F05B6">
        <w:rPr>
          <w:b/>
          <w:bCs/>
          <w:u w:val="single"/>
        </w:rPr>
        <w:t xml:space="preserve"> </w:t>
      </w:r>
      <w:r w:rsidR="001A2F61" w:rsidRPr="007F05B6">
        <w:rPr>
          <w:b/>
          <w:bCs/>
          <w:u w:val="single"/>
        </w:rPr>
        <w:t xml:space="preserve">Help You </w:t>
      </w:r>
      <w:r w:rsidR="0024053E" w:rsidRPr="007F05B6">
        <w:rPr>
          <w:b/>
          <w:bCs/>
          <w:u w:val="single"/>
        </w:rPr>
        <w:t>P</w:t>
      </w:r>
      <w:r w:rsidR="00F23AE8" w:rsidRPr="007F05B6">
        <w:rPr>
          <w:b/>
          <w:bCs/>
          <w:u w:val="single"/>
        </w:rPr>
        <w:t>repar</w:t>
      </w:r>
      <w:r w:rsidR="00FD3F6C" w:rsidRPr="007F05B6">
        <w:rPr>
          <w:b/>
          <w:bCs/>
          <w:u w:val="single"/>
        </w:rPr>
        <w:t>e and Protect</w:t>
      </w:r>
      <w:r w:rsidR="0024053E" w:rsidRPr="007F05B6">
        <w:rPr>
          <w:b/>
          <w:bCs/>
          <w:u w:val="single"/>
        </w:rPr>
        <w:t xml:space="preserve"> </w:t>
      </w:r>
      <w:r w:rsidR="00FD3F6C" w:rsidRPr="007F05B6">
        <w:rPr>
          <w:b/>
          <w:bCs/>
          <w:u w:val="single"/>
        </w:rPr>
        <w:t>Yourself in 2021</w:t>
      </w:r>
    </w:p>
    <w:p w14:paraId="58772B3E" w14:textId="77777777" w:rsidR="00F23AE8" w:rsidRDefault="00F23AE8" w:rsidP="00381D38">
      <w:pPr>
        <w:ind w:right="630"/>
        <w:rPr>
          <w:rFonts w:ascii="Times New Roman" w:hAnsi="Times New Roman" w:cs="Times New Roman"/>
          <w:color w:val="000000"/>
          <w:sz w:val="24"/>
          <w:szCs w:val="24"/>
          <w14:textOutline w14:w="0" w14:cap="flat" w14:cmpd="sng" w14:algn="ctr">
            <w14:noFill/>
            <w14:prstDash w14:val="solid"/>
            <w14:round/>
          </w14:textOutline>
        </w:rPr>
      </w:pPr>
    </w:p>
    <w:p w14:paraId="3F0802A0" w14:textId="1A3401F7" w:rsidR="007F05B6" w:rsidRDefault="007F05B6" w:rsidP="007F05B6">
      <w:pPr>
        <w:rPr>
          <w:rFonts w:ascii="Times New Roman" w:hAnsi="Times New Roman" w:cs="Times New Roman"/>
          <w:iCs/>
          <w:sz w:val="24"/>
          <w:szCs w:val="20"/>
        </w:rPr>
      </w:pPr>
      <w:r w:rsidRPr="007F05B6">
        <w:rPr>
          <w:rFonts w:ascii="Times New Roman" w:hAnsi="Times New Roman" w:cs="Times New Roman"/>
          <w:iCs/>
          <w:color w:val="4472C4" w:themeColor="accent1"/>
          <w:sz w:val="24"/>
          <w:szCs w:val="20"/>
        </w:rPr>
        <w:t xml:space="preserve">Welcome to our live webinar, where we will cover </w:t>
      </w:r>
      <w:r w:rsidRPr="007F05B6">
        <w:rPr>
          <w:color w:val="4472C4" w:themeColor="accent1"/>
        </w:rPr>
        <w:t xml:space="preserve">Strategies to </w:t>
      </w:r>
      <w:r w:rsidR="00B54344">
        <w:rPr>
          <w:color w:val="4472C4" w:themeColor="accent1"/>
        </w:rPr>
        <w:t>H</w:t>
      </w:r>
      <w:r w:rsidRPr="007F05B6">
        <w:rPr>
          <w:color w:val="4472C4" w:themeColor="accent1"/>
        </w:rPr>
        <w:t>elp You Prepare and Protect Yourself in 2021.</w:t>
      </w:r>
      <w:r>
        <w:br/>
      </w:r>
    </w:p>
    <w:p w14:paraId="3F0B6059" w14:textId="5D63FFAB" w:rsidR="00B54344" w:rsidRDefault="0015249C" w:rsidP="00381D38">
      <w:pPr>
        <w:ind w:right="630"/>
        <w:rPr>
          <w:rFonts w:ascii="Times New Roman" w:hAnsi="Times New Roman" w:cs="Times New Roman"/>
          <w:sz w:val="24"/>
          <w:szCs w:val="24"/>
        </w:rPr>
      </w:pPr>
      <w:r>
        <w:rPr>
          <w:rFonts w:ascii="Times New Roman" w:hAnsi="Times New Roman" w:cs="Times New Roman"/>
          <w:iCs/>
          <w:sz w:val="24"/>
          <w:szCs w:val="20"/>
        </w:rPr>
        <w:t xml:space="preserve">To say </w:t>
      </w:r>
      <w:r w:rsidR="00A56041" w:rsidRPr="00A56041">
        <w:rPr>
          <w:rFonts w:ascii="Times New Roman" w:hAnsi="Times New Roman" w:cs="Times New Roman"/>
          <w:color w:val="000000"/>
          <w:sz w:val="24"/>
          <w:szCs w:val="24"/>
          <w14:textOutline w14:w="0" w14:cap="flat" w14:cmpd="sng" w14:algn="ctr">
            <w14:noFill/>
            <w14:prstDash w14:val="solid"/>
            <w14:round/>
          </w14:textOutline>
        </w:rPr>
        <w:t>2020 has been a shocking year</w:t>
      </w:r>
      <w:r>
        <w:rPr>
          <w:rFonts w:ascii="Times New Roman" w:hAnsi="Times New Roman" w:cs="Times New Roman"/>
          <w:color w:val="000000"/>
          <w:sz w:val="24"/>
          <w:szCs w:val="24"/>
          <w14:textOutline w14:w="0" w14:cap="flat" w14:cmpd="sng" w14:algn="ctr">
            <w14:noFill/>
            <w14:prstDash w14:val="solid"/>
            <w14:round/>
          </w14:textOutline>
        </w:rPr>
        <w:t xml:space="preserve"> that we will never forget is no understatement</w:t>
      </w:r>
      <w:r w:rsidR="001A2F61">
        <w:rPr>
          <w:rFonts w:ascii="Times New Roman" w:hAnsi="Times New Roman" w:cs="Times New Roman"/>
          <w:color w:val="000000"/>
          <w:sz w:val="24"/>
          <w:szCs w:val="24"/>
          <w14:textOutline w14:w="0" w14:cap="flat" w14:cmpd="sng" w14:algn="ctr">
            <w14:noFill/>
            <w14:prstDash w14:val="solid"/>
            <w14:round/>
          </w14:textOutline>
        </w:rPr>
        <w:t>.</w:t>
      </w:r>
      <w:r>
        <w:rPr>
          <w:rFonts w:ascii="Times New Roman" w:hAnsi="Times New Roman" w:cs="Times New Roman"/>
          <w:color w:val="000000"/>
          <w:sz w:val="24"/>
          <w:szCs w:val="24"/>
          <w14:textOutline w14:w="0" w14:cap="flat" w14:cmpd="sng" w14:algn="ctr">
            <w14:noFill/>
            <w14:prstDash w14:val="solid"/>
            <w14:round/>
          </w14:textOutline>
        </w:rPr>
        <w:t xml:space="preserve"> </w:t>
      </w:r>
      <w:r w:rsidR="00184C6C">
        <w:rPr>
          <w:rFonts w:ascii="Times New Roman" w:hAnsi="Times New Roman" w:cs="Times New Roman"/>
          <w:color w:val="000000"/>
          <w:sz w:val="24"/>
          <w:szCs w:val="24"/>
        </w:rPr>
        <w:t>Thankfully</w:t>
      </w:r>
      <w:r w:rsidR="00E72EE3">
        <w:rPr>
          <w:rFonts w:ascii="Times New Roman" w:hAnsi="Times New Roman" w:cs="Times New Roman"/>
          <w:color w:val="000000"/>
          <w:sz w:val="24"/>
          <w:szCs w:val="24"/>
        </w:rPr>
        <w:t>,</w:t>
      </w:r>
      <w:r w:rsidR="00184C6C">
        <w:rPr>
          <w:rFonts w:ascii="Times New Roman" w:hAnsi="Times New Roman" w:cs="Times New Roman"/>
          <w:color w:val="000000"/>
          <w:sz w:val="24"/>
          <w:szCs w:val="24"/>
        </w:rPr>
        <w:t xml:space="preserve"> 2020 is </w:t>
      </w:r>
      <w:r w:rsidR="000E3D49">
        <w:rPr>
          <w:rFonts w:ascii="Times New Roman" w:hAnsi="Times New Roman" w:cs="Times New Roman"/>
          <w:color w:val="000000"/>
          <w:sz w:val="24"/>
          <w:szCs w:val="24"/>
        </w:rPr>
        <w:t xml:space="preserve">coming to an </w:t>
      </w:r>
      <w:r w:rsidR="00184C6C">
        <w:rPr>
          <w:rFonts w:ascii="Times New Roman" w:hAnsi="Times New Roman" w:cs="Times New Roman"/>
          <w:color w:val="000000"/>
          <w:sz w:val="24"/>
          <w:szCs w:val="24"/>
        </w:rPr>
        <w:t>end</w:t>
      </w:r>
      <w:r w:rsidR="000E3D49">
        <w:rPr>
          <w:rFonts w:ascii="Times New Roman" w:hAnsi="Times New Roman" w:cs="Times New Roman"/>
          <w:color w:val="000000"/>
          <w:sz w:val="24"/>
          <w:szCs w:val="24"/>
        </w:rPr>
        <w:t>. No</w:t>
      </w:r>
      <w:r w:rsidR="00184C6C">
        <w:rPr>
          <w:rFonts w:ascii="Times New Roman" w:hAnsi="Times New Roman" w:cs="Times New Roman"/>
          <w:color w:val="000000"/>
          <w:sz w:val="24"/>
          <w:szCs w:val="24"/>
        </w:rPr>
        <w:t>w</w:t>
      </w:r>
      <w:r w:rsidR="000E3D49">
        <w:rPr>
          <w:rFonts w:ascii="Times New Roman" w:hAnsi="Times New Roman" w:cs="Times New Roman"/>
          <w:color w:val="000000"/>
          <w:sz w:val="24"/>
          <w:szCs w:val="24"/>
        </w:rPr>
        <w:t xml:space="preserve">, we </w:t>
      </w:r>
      <w:r w:rsidR="00184C6C">
        <w:rPr>
          <w:rFonts w:ascii="Times New Roman" w:hAnsi="Times New Roman" w:cs="Times New Roman"/>
          <w:color w:val="000000"/>
          <w:sz w:val="24"/>
          <w:szCs w:val="24"/>
        </w:rPr>
        <w:t xml:space="preserve">must </w:t>
      </w:r>
      <w:r w:rsidR="000E3D49">
        <w:rPr>
          <w:rFonts w:ascii="Times New Roman" w:hAnsi="Times New Roman" w:cs="Times New Roman"/>
          <w:color w:val="000000"/>
          <w:sz w:val="24"/>
          <w:szCs w:val="24"/>
        </w:rPr>
        <w:t xml:space="preserve">prepare </w:t>
      </w:r>
      <w:r w:rsidR="00184C6C">
        <w:rPr>
          <w:rFonts w:ascii="Times New Roman" w:hAnsi="Times New Roman" w:cs="Times New Roman"/>
          <w:color w:val="000000"/>
          <w:sz w:val="24"/>
          <w:szCs w:val="24"/>
        </w:rPr>
        <w:t xml:space="preserve">for </w:t>
      </w:r>
      <w:r w:rsidR="00E72EE3">
        <w:rPr>
          <w:rFonts w:ascii="Times New Roman" w:hAnsi="Times New Roman" w:cs="Times New Roman"/>
          <w:color w:val="000000"/>
          <w:sz w:val="24"/>
          <w:szCs w:val="24"/>
        </w:rPr>
        <w:t>what</w:t>
      </w:r>
      <w:r w:rsidR="000E3D49">
        <w:rPr>
          <w:rFonts w:ascii="Times New Roman" w:hAnsi="Times New Roman" w:cs="Times New Roman"/>
          <w:color w:val="000000"/>
          <w:sz w:val="24"/>
          <w:szCs w:val="24"/>
        </w:rPr>
        <w:t xml:space="preserve">ever </w:t>
      </w:r>
      <w:r w:rsidR="00E72EE3">
        <w:rPr>
          <w:rFonts w:ascii="Times New Roman" w:hAnsi="Times New Roman" w:cs="Times New Roman"/>
          <w:color w:val="000000"/>
          <w:sz w:val="24"/>
          <w:szCs w:val="24"/>
        </w:rPr>
        <w:t xml:space="preserve">the </w:t>
      </w:r>
      <w:r w:rsidR="00184C6C">
        <w:rPr>
          <w:rFonts w:ascii="Times New Roman" w:hAnsi="Times New Roman" w:cs="Times New Roman"/>
          <w:color w:val="000000"/>
          <w:sz w:val="24"/>
          <w:szCs w:val="24"/>
        </w:rPr>
        <w:t>new year</w:t>
      </w:r>
      <w:r w:rsidR="00E72EE3">
        <w:rPr>
          <w:rFonts w:ascii="Times New Roman" w:hAnsi="Times New Roman" w:cs="Times New Roman"/>
          <w:color w:val="000000"/>
          <w:sz w:val="24"/>
          <w:szCs w:val="24"/>
        </w:rPr>
        <w:t xml:space="preserve"> might bring.</w:t>
      </w:r>
      <w:r w:rsidR="00DB1A81">
        <w:rPr>
          <w:rFonts w:ascii="Times New Roman" w:hAnsi="Times New Roman" w:cs="Times New Roman"/>
          <w:color w:val="000000"/>
          <w:sz w:val="24"/>
          <w:szCs w:val="24"/>
        </w:rPr>
        <w:t xml:space="preserve"> </w:t>
      </w:r>
      <w:r w:rsidR="00184C6C">
        <w:rPr>
          <w:rFonts w:ascii="Times New Roman" w:hAnsi="Times New Roman" w:cs="Times New Roman"/>
          <w:color w:val="000000"/>
          <w:sz w:val="24"/>
          <w:szCs w:val="24"/>
        </w:rPr>
        <w:t xml:space="preserve">It </w:t>
      </w:r>
      <w:proofErr w:type="gramStart"/>
      <w:r w:rsidR="00184C6C">
        <w:rPr>
          <w:rFonts w:ascii="Times New Roman" w:hAnsi="Times New Roman" w:cs="Times New Roman"/>
          <w:color w:val="000000"/>
          <w:sz w:val="24"/>
          <w:szCs w:val="24"/>
        </w:rPr>
        <w:t>doesn’t</w:t>
      </w:r>
      <w:proofErr w:type="gramEnd"/>
      <w:r w:rsidR="00184C6C">
        <w:rPr>
          <w:rFonts w:ascii="Times New Roman" w:hAnsi="Times New Roman" w:cs="Times New Roman"/>
          <w:color w:val="000000"/>
          <w:sz w:val="24"/>
          <w:szCs w:val="24"/>
        </w:rPr>
        <w:t xml:space="preserve"> matter </w:t>
      </w:r>
      <w:r w:rsidR="001A2F61">
        <w:rPr>
          <w:rFonts w:ascii="Times New Roman" w:hAnsi="Times New Roman" w:cs="Times New Roman"/>
          <w:color w:val="000000"/>
          <w:sz w:val="24"/>
          <w:szCs w:val="24"/>
        </w:rPr>
        <w:t xml:space="preserve">who you voted for, or </w:t>
      </w:r>
      <w:r w:rsidR="00184C6C">
        <w:rPr>
          <w:rFonts w:ascii="Times New Roman" w:hAnsi="Times New Roman" w:cs="Times New Roman"/>
          <w:color w:val="000000"/>
          <w:sz w:val="24"/>
          <w:szCs w:val="24"/>
        </w:rPr>
        <w:t>what your political affiliation is</w:t>
      </w:r>
      <w:r w:rsidR="00B54344">
        <w:rPr>
          <w:rFonts w:ascii="Times New Roman" w:hAnsi="Times New Roman" w:cs="Times New Roman"/>
          <w:color w:val="000000"/>
          <w:sz w:val="24"/>
          <w:szCs w:val="24"/>
        </w:rPr>
        <w:t xml:space="preserve">, we are </w:t>
      </w:r>
      <w:r w:rsidR="00184C6C">
        <w:rPr>
          <w:rFonts w:ascii="Times New Roman" w:hAnsi="Times New Roman" w:cs="Times New Roman"/>
          <w:color w:val="000000"/>
          <w:sz w:val="24"/>
          <w:szCs w:val="24"/>
        </w:rPr>
        <w:t>all in the same boat now</w:t>
      </w:r>
      <w:r w:rsidR="001A2F61">
        <w:rPr>
          <w:rFonts w:ascii="Times New Roman" w:hAnsi="Times New Roman" w:cs="Times New Roman"/>
          <w:color w:val="000000"/>
          <w:sz w:val="24"/>
          <w:szCs w:val="24"/>
        </w:rPr>
        <w:t xml:space="preserve"> and </w:t>
      </w:r>
      <w:r w:rsidR="00E72EE3">
        <w:rPr>
          <w:rFonts w:ascii="Times New Roman" w:hAnsi="Times New Roman" w:cs="Times New Roman"/>
          <w:color w:val="000000"/>
          <w:sz w:val="24"/>
          <w:szCs w:val="24"/>
        </w:rPr>
        <w:t xml:space="preserve">must </w:t>
      </w:r>
      <w:r w:rsidR="00184C6C">
        <w:rPr>
          <w:rFonts w:ascii="Times New Roman" w:hAnsi="Times New Roman" w:cs="Times New Roman"/>
          <w:color w:val="000000"/>
          <w:sz w:val="24"/>
          <w:szCs w:val="24"/>
        </w:rPr>
        <w:t xml:space="preserve">hope for the </w:t>
      </w:r>
      <w:r w:rsidR="000E3D49">
        <w:rPr>
          <w:rFonts w:ascii="Times New Roman" w:hAnsi="Times New Roman" w:cs="Times New Roman"/>
          <w:color w:val="000000"/>
          <w:sz w:val="24"/>
          <w:szCs w:val="24"/>
        </w:rPr>
        <w:t>best but</w:t>
      </w:r>
      <w:r w:rsidR="00E72EE3">
        <w:rPr>
          <w:rFonts w:ascii="Times New Roman" w:hAnsi="Times New Roman" w:cs="Times New Roman"/>
          <w:color w:val="000000"/>
          <w:sz w:val="24"/>
          <w:szCs w:val="24"/>
        </w:rPr>
        <w:t xml:space="preserve"> be </w:t>
      </w:r>
      <w:r w:rsidR="00184C6C">
        <w:rPr>
          <w:rFonts w:ascii="Times New Roman" w:hAnsi="Times New Roman" w:cs="Times New Roman"/>
          <w:color w:val="000000"/>
          <w:sz w:val="24"/>
          <w:szCs w:val="24"/>
        </w:rPr>
        <w:t>prepare</w:t>
      </w:r>
      <w:r w:rsidR="00E72EE3">
        <w:rPr>
          <w:rFonts w:ascii="Times New Roman" w:hAnsi="Times New Roman" w:cs="Times New Roman"/>
          <w:color w:val="000000"/>
          <w:sz w:val="24"/>
          <w:szCs w:val="24"/>
        </w:rPr>
        <w:t xml:space="preserve">d </w:t>
      </w:r>
      <w:r w:rsidR="00184C6C">
        <w:rPr>
          <w:rFonts w:ascii="Times New Roman" w:hAnsi="Times New Roman" w:cs="Times New Roman"/>
          <w:color w:val="000000"/>
          <w:sz w:val="24"/>
          <w:szCs w:val="24"/>
        </w:rPr>
        <w:t>for the wors</w:t>
      </w:r>
      <w:r w:rsidR="00E72EE3">
        <w:rPr>
          <w:rFonts w:ascii="Times New Roman" w:hAnsi="Times New Roman" w:cs="Times New Roman"/>
          <w:color w:val="000000"/>
          <w:sz w:val="24"/>
          <w:szCs w:val="24"/>
        </w:rPr>
        <w:t>t</w:t>
      </w:r>
      <w:r w:rsidR="000E3D49">
        <w:rPr>
          <w:rFonts w:ascii="Times New Roman" w:hAnsi="Times New Roman" w:cs="Times New Roman"/>
          <w:color w:val="000000"/>
          <w:sz w:val="24"/>
          <w:szCs w:val="24"/>
        </w:rPr>
        <w:t xml:space="preserve">. </w:t>
      </w:r>
      <w:proofErr w:type="gramStart"/>
      <w:r w:rsidR="000E3D49">
        <w:rPr>
          <w:rFonts w:ascii="Times New Roman" w:hAnsi="Times New Roman" w:cs="Times New Roman"/>
          <w:color w:val="000000"/>
          <w:sz w:val="24"/>
          <w:szCs w:val="24"/>
        </w:rPr>
        <w:t>That’s</w:t>
      </w:r>
      <w:proofErr w:type="gramEnd"/>
      <w:r w:rsidR="000E3D49">
        <w:rPr>
          <w:rFonts w:ascii="Times New Roman" w:hAnsi="Times New Roman" w:cs="Times New Roman"/>
          <w:color w:val="000000"/>
          <w:sz w:val="24"/>
          <w:szCs w:val="24"/>
        </w:rPr>
        <w:t xml:space="preserve"> why </w:t>
      </w:r>
      <w:r w:rsidR="002A1C75">
        <w:rPr>
          <w:rFonts w:ascii="Times New Roman" w:hAnsi="Times New Roman" w:cs="Times New Roman"/>
          <w:color w:val="000000"/>
          <w:sz w:val="24"/>
          <w:szCs w:val="24"/>
        </w:rPr>
        <w:t xml:space="preserve">today </w:t>
      </w:r>
      <w:r w:rsidR="000E3D49">
        <w:rPr>
          <w:rFonts w:ascii="Times New Roman" w:hAnsi="Times New Roman" w:cs="Times New Roman"/>
          <w:color w:val="000000"/>
          <w:sz w:val="24"/>
          <w:szCs w:val="24"/>
        </w:rPr>
        <w:t xml:space="preserve">we </w:t>
      </w:r>
      <w:r w:rsidR="002A1C75">
        <w:rPr>
          <w:rFonts w:ascii="Times New Roman" w:hAnsi="Times New Roman" w:cs="Times New Roman"/>
          <w:color w:val="000000"/>
          <w:sz w:val="24"/>
          <w:szCs w:val="24"/>
        </w:rPr>
        <w:t xml:space="preserve">are going to </w:t>
      </w:r>
      <w:r w:rsidR="000E3D49">
        <w:rPr>
          <w:rFonts w:ascii="Times New Roman" w:hAnsi="Times New Roman" w:cs="Times New Roman"/>
          <w:sz w:val="24"/>
          <w:szCs w:val="24"/>
        </w:rPr>
        <w:t>cover</w:t>
      </w:r>
      <w:r w:rsidR="004150BB" w:rsidRPr="00A56041">
        <w:rPr>
          <w:rFonts w:ascii="Times New Roman" w:hAnsi="Times New Roman" w:cs="Times New Roman"/>
          <w:sz w:val="24"/>
          <w:szCs w:val="24"/>
        </w:rPr>
        <w:t>:</w:t>
      </w:r>
    </w:p>
    <w:p w14:paraId="605439E1" w14:textId="77777777" w:rsidR="00B54344" w:rsidRDefault="00B54344" w:rsidP="00381D38">
      <w:pPr>
        <w:ind w:right="630"/>
        <w:rPr>
          <w:rFonts w:ascii="Times New Roman" w:hAnsi="Times New Roman" w:cs="Times New Roman"/>
          <w:sz w:val="24"/>
          <w:szCs w:val="24"/>
        </w:rPr>
      </w:pPr>
    </w:p>
    <w:p w14:paraId="1E4404EF" w14:textId="1FEB82C8" w:rsidR="00B54344" w:rsidRDefault="00B54344" w:rsidP="00B54344">
      <w:pPr>
        <w:numPr>
          <w:ilvl w:val="0"/>
          <w:numId w:val="1"/>
        </w:numPr>
        <w:spacing w:line="360" w:lineRule="auto"/>
        <w:ind w:right="634"/>
        <w:rPr>
          <w:rFonts w:ascii="Times New Roman" w:hAnsi="Times New Roman" w:cs="Times New Roman"/>
          <w:sz w:val="24"/>
          <w:szCs w:val="24"/>
        </w:rPr>
      </w:pPr>
      <w:r>
        <w:rPr>
          <w:rFonts w:ascii="Times New Roman" w:hAnsi="Times New Roman" w:cs="Times New Roman"/>
          <w:sz w:val="24"/>
          <w:szCs w:val="24"/>
        </w:rPr>
        <w:t>How the Election could impact the Financial Markets…</w:t>
      </w:r>
    </w:p>
    <w:p w14:paraId="590CD4F1" w14:textId="4595C8C5" w:rsidR="00FD3F6C" w:rsidRPr="00B54344" w:rsidRDefault="00FD3F6C" w:rsidP="00B54344">
      <w:pPr>
        <w:numPr>
          <w:ilvl w:val="0"/>
          <w:numId w:val="1"/>
        </w:numPr>
        <w:spacing w:line="360" w:lineRule="auto"/>
        <w:ind w:right="634"/>
        <w:rPr>
          <w:rFonts w:ascii="Times New Roman" w:hAnsi="Times New Roman" w:cs="Times New Roman"/>
          <w:sz w:val="24"/>
          <w:szCs w:val="24"/>
        </w:rPr>
      </w:pPr>
      <w:r w:rsidRPr="00B54344">
        <w:rPr>
          <w:rFonts w:ascii="Times New Roman" w:hAnsi="Times New Roman" w:cs="Times New Roman"/>
          <w:sz w:val="24"/>
          <w:szCs w:val="24"/>
        </w:rPr>
        <w:t>Tax Saving Strategies under the new administration…</w:t>
      </w:r>
    </w:p>
    <w:p w14:paraId="212B355B" w14:textId="5EA96EE6" w:rsidR="004150BB" w:rsidRPr="00B54344" w:rsidRDefault="00FD3F6C" w:rsidP="00B54344">
      <w:pPr>
        <w:numPr>
          <w:ilvl w:val="0"/>
          <w:numId w:val="1"/>
        </w:numPr>
        <w:spacing w:line="360" w:lineRule="auto"/>
        <w:ind w:right="634"/>
        <w:rPr>
          <w:rFonts w:ascii="Times New Roman" w:hAnsi="Times New Roman" w:cs="Times New Roman"/>
          <w:sz w:val="24"/>
          <w:szCs w:val="24"/>
        </w:rPr>
      </w:pPr>
      <w:r w:rsidRPr="00B54344">
        <w:rPr>
          <w:rFonts w:ascii="Times New Roman" w:hAnsi="Times New Roman" w:cs="Times New Roman"/>
          <w:sz w:val="24"/>
          <w:szCs w:val="24"/>
        </w:rPr>
        <w:t xml:space="preserve">How Inflation Rates could </w:t>
      </w:r>
      <w:r w:rsidR="00E72EE3" w:rsidRPr="00B54344">
        <w:rPr>
          <w:rFonts w:ascii="Times New Roman" w:hAnsi="Times New Roman" w:cs="Times New Roman"/>
          <w:sz w:val="24"/>
          <w:szCs w:val="24"/>
        </w:rPr>
        <w:t xml:space="preserve">rise as the Fed </w:t>
      </w:r>
      <w:r w:rsidRPr="00B54344">
        <w:rPr>
          <w:rFonts w:ascii="Times New Roman" w:hAnsi="Times New Roman" w:cs="Times New Roman"/>
          <w:sz w:val="24"/>
          <w:szCs w:val="24"/>
        </w:rPr>
        <w:t>print</w:t>
      </w:r>
      <w:r w:rsidR="00E72EE3" w:rsidRPr="00B54344">
        <w:rPr>
          <w:rFonts w:ascii="Times New Roman" w:hAnsi="Times New Roman" w:cs="Times New Roman"/>
          <w:sz w:val="24"/>
          <w:szCs w:val="24"/>
        </w:rPr>
        <w:t xml:space="preserve">s </w:t>
      </w:r>
      <w:r w:rsidRPr="00B54344">
        <w:rPr>
          <w:rFonts w:ascii="Times New Roman" w:hAnsi="Times New Roman" w:cs="Times New Roman"/>
          <w:sz w:val="24"/>
          <w:szCs w:val="24"/>
        </w:rPr>
        <w:t>more money…</w:t>
      </w:r>
      <w:r w:rsidR="00184C6C" w:rsidRPr="00B54344">
        <w:rPr>
          <w:rFonts w:ascii="Times New Roman" w:hAnsi="Times New Roman" w:cs="Times New Roman"/>
          <w:sz w:val="24"/>
          <w:szCs w:val="24"/>
        </w:rPr>
        <w:t xml:space="preserve"> </w:t>
      </w:r>
    </w:p>
    <w:p w14:paraId="7ACBC01C" w14:textId="3BAD38B3" w:rsidR="00FD3F6C" w:rsidRPr="00B54344" w:rsidRDefault="00FD3F6C" w:rsidP="00B54344">
      <w:pPr>
        <w:numPr>
          <w:ilvl w:val="0"/>
          <w:numId w:val="1"/>
        </w:numPr>
        <w:spacing w:line="360" w:lineRule="auto"/>
        <w:ind w:right="634"/>
        <w:rPr>
          <w:rFonts w:ascii="Times New Roman" w:hAnsi="Times New Roman" w:cs="Times New Roman"/>
          <w:sz w:val="24"/>
          <w:szCs w:val="24"/>
        </w:rPr>
      </w:pPr>
      <w:r w:rsidRPr="00B54344">
        <w:rPr>
          <w:rFonts w:ascii="Times New Roman" w:hAnsi="Times New Roman" w:cs="Times New Roman"/>
          <w:sz w:val="24"/>
          <w:szCs w:val="24"/>
        </w:rPr>
        <w:t>Income Strategies in a low interest rate environment…</w:t>
      </w:r>
    </w:p>
    <w:p w14:paraId="4D0A4AA9" w14:textId="3E99D287" w:rsidR="00FD3F6C" w:rsidRPr="00B54344" w:rsidRDefault="00FD3F6C" w:rsidP="00B54344">
      <w:pPr>
        <w:numPr>
          <w:ilvl w:val="0"/>
          <w:numId w:val="1"/>
        </w:numPr>
        <w:spacing w:line="360" w:lineRule="auto"/>
        <w:ind w:right="634"/>
        <w:rPr>
          <w:rFonts w:ascii="Times New Roman" w:hAnsi="Times New Roman" w:cs="Times New Roman"/>
          <w:sz w:val="24"/>
          <w:szCs w:val="24"/>
        </w:rPr>
      </w:pPr>
      <w:r w:rsidRPr="00B54344">
        <w:rPr>
          <w:rFonts w:ascii="Times New Roman" w:hAnsi="Times New Roman" w:cs="Times New Roman"/>
          <w:sz w:val="24"/>
          <w:szCs w:val="24"/>
        </w:rPr>
        <w:t xml:space="preserve">How Increased Corporate Taxes could </w:t>
      </w:r>
      <w:r w:rsidR="001A2F61" w:rsidRPr="00B54344">
        <w:rPr>
          <w:rFonts w:ascii="Times New Roman" w:hAnsi="Times New Roman" w:cs="Times New Roman"/>
          <w:sz w:val="24"/>
          <w:szCs w:val="24"/>
        </w:rPr>
        <w:t xml:space="preserve">impact </w:t>
      </w:r>
      <w:r w:rsidRPr="00B54344">
        <w:rPr>
          <w:rFonts w:ascii="Times New Roman" w:hAnsi="Times New Roman" w:cs="Times New Roman"/>
          <w:sz w:val="24"/>
          <w:szCs w:val="24"/>
        </w:rPr>
        <w:t>the market…</w:t>
      </w:r>
    </w:p>
    <w:p w14:paraId="5DA37381" w14:textId="1A3D691F" w:rsidR="00FD3F6C" w:rsidRDefault="00FD3F6C" w:rsidP="00B54344">
      <w:pPr>
        <w:numPr>
          <w:ilvl w:val="0"/>
          <w:numId w:val="1"/>
        </w:numPr>
        <w:spacing w:line="360" w:lineRule="auto"/>
        <w:ind w:right="634"/>
        <w:rPr>
          <w:rFonts w:ascii="Times New Roman" w:hAnsi="Times New Roman" w:cs="Times New Roman"/>
          <w:sz w:val="24"/>
          <w:szCs w:val="24"/>
        </w:rPr>
      </w:pPr>
      <w:r w:rsidRPr="00B54344">
        <w:rPr>
          <w:rFonts w:ascii="Times New Roman" w:hAnsi="Times New Roman" w:cs="Times New Roman"/>
          <w:sz w:val="24"/>
          <w:szCs w:val="24"/>
        </w:rPr>
        <w:t xml:space="preserve">Strategies for </w:t>
      </w:r>
      <w:r w:rsidR="00E72EE3" w:rsidRPr="00B54344">
        <w:rPr>
          <w:rFonts w:ascii="Times New Roman" w:hAnsi="Times New Roman" w:cs="Times New Roman"/>
          <w:sz w:val="24"/>
          <w:szCs w:val="24"/>
        </w:rPr>
        <w:t>dealing with</w:t>
      </w:r>
      <w:r w:rsidR="001A2F61" w:rsidRPr="00B54344">
        <w:rPr>
          <w:rFonts w:ascii="Times New Roman" w:hAnsi="Times New Roman" w:cs="Times New Roman"/>
          <w:sz w:val="24"/>
          <w:szCs w:val="24"/>
        </w:rPr>
        <w:t xml:space="preserve"> </w:t>
      </w:r>
      <w:r w:rsidRPr="00B54344">
        <w:rPr>
          <w:rFonts w:ascii="Times New Roman" w:hAnsi="Times New Roman" w:cs="Times New Roman"/>
          <w:sz w:val="24"/>
          <w:szCs w:val="24"/>
        </w:rPr>
        <w:t>new Capital Gain</w:t>
      </w:r>
      <w:r w:rsidR="00E72EE3" w:rsidRPr="00B54344">
        <w:rPr>
          <w:rFonts w:ascii="Times New Roman" w:hAnsi="Times New Roman" w:cs="Times New Roman"/>
          <w:sz w:val="24"/>
          <w:szCs w:val="24"/>
        </w:rPr>
        <w:t>s</w:t>
      </w:r>
      <w:r w:rsidRPr="00B54344">
        <w:rPr>
          <w:rFonts w:ascii="Times New Roman" w:hAnsi="Times New Roman" w:cs="Times New Roman"/>
          <w:sz w:val="24"/>
          <w:szCs w:val="24"/>
        </w:rPr>
        <w:t xml:space="preserve"> </w:t>
      </w:r>
      <w:r w:rsidR="001A2F61" w:rsidRPr="00B54344">
        <w:rPr>
          <w:rFonts w:ascii="Times New Roman" w:hAnsi="Times New Roman" w:cs="Times New Roman"/>
          <w:sz w:val="24"/>
          <w:szCs w:val="24"/>
        </w:rPr>
        <w:t xml:space="preserve">Tax </w:t>
      </w:r>
      <w:r w:rsidRPr="00B54344">
        <w:rPr>
          <w:rFonts w:ascii="Times New Roman" w:hAnsi="Times New Roman" w:cs="Times New Roman"/>
          <w:sz w:val="24"/>
          <w:szCs w:val="24"/>
        </w:rPr>
        <w:t>Rates…</w:t>
      </w:r>
    </w:p>
    <w:p w14:paraId="40F691D2" w14:textId="77777777" w:rsidR="00B54344" w:rsidRPr="00B54344" w:rsidRDefault="00B54344" w:rsidP="00B54344">
      <w:pPr>
        <w:spacing w:line="360" w:lineRule="auto"/>
        <w:ind w:left="720" w:right="634"/>
        <w:rPr>
          <w:rFonts w:ascii="Times New Roman" w:hAnsi="Times New Roman" w:cs="Times New Roman"/>
          <w:sz w:val="24"/>
          <w:szCs w:val="24"/>
        </w:rPr>
      </w:pPr>
    </w:p>
    <w:p w14:paraId="01350889" w14:textId="53D8DAEA" w:rsidR="00196A6C" w:rsidRPr="00196A6C" w:rsidRDefault="00FD3F6C" w:rsidP="00196A6C">
      <w:pPr>
        <w:mirrorIndents/>
        <w:rPr>
          <w:rFonts w:eastAsia="Calibri"/>
          <w:color w:val="4472C4" w:themeColor="accent1"/>
        </w:rPr>
      </w:pPr>
      <w:r>
        <w:rPr>
          <w:rFonts w:ascii="Times New Roman" w:hAnsi="Times New Roman" w:cs="Times New Roman"/>
          <w:color w:val="000000"/>
          <w:sz w:val="24"/>
          <w:szCs w:val="24"/>
        </w:rPr>
        <w:t xml:space="preserve">Millions of Americans will be </w:t>
      </w:r>
      <w:r w:rsidR="003D27BB">
        <w:rPr>
          <w:rFonts w:ascii="Times New Roman" w:hAnsi="Times New Roman" w:cs="Times New Roman"/>
          <w:color w:val="000000"/>
          <w:sz w:val="24"/>
          <w:szCs w:val="24"/>
        </w:rPr>
        <w:t xml:space="preserve">impacted </w:t>
      </w:r>
      <w:r>
        <w:rPr>
          <w:rFonts w:ascii="Times New Roman" w:hAnsi="Times New Roman" w:cs="Times New Roman"/>
          <w:color w:val="000000"/>
          <w:sz w:val="24"/>
          <w:szCs w:val="24"/>
        </w:rPr>
        <w:t xml:space="preserve">by the </w:t>
      </w:r>
      <w:r w:rsidR="000E3D49">
        <w:rPr>
          <w:rFonts w:ascii="Times New Roman" w:hAnsi="Times New Roman" w:cs="Times New Roman"/>
          <w:color w:val="000000"/>
          <w:sz w:val="24"/>
          <w:szCs w:val="24"/>
        </w:rPr>
        <w:t xml:space="preserve">new policies of the incoming </w:t>
      </w:r>
      <w:r>
        <w:rPr>
          <w:rFonts w:ascii="Times New Roman" w:hAnsi="Times New Roman" w:cs="Times New Roman"/>
          <w:color w:val="000000"/>
          <w:sz w:val="24"/>
          <w:szCs w:val="24"/>
        </w:rPr>
        <w:t>administration</w:t>
      </w:r>
      <w:r w:rsidR="000E3D49">
        <w:rPr>
          <w:rFonts w:ascii="Times New Roman" w:hAnsi="Times New Roman" w:cs="Times New Roman"/>
          <w:color w:val="000000"/>
          <w:sz w:val="24"/>
          <w:szCs w:val="24"/>
        </w:rPr>
        <w:t xml:space="preserve">, which means that </w:t>
      </w:r>
      <w:r>
        <w:rPr>
          <w:rFonts w:ascii="Times New Roman" w:hAnsi="Times New Roman" w:cs="Times New Roman"/>
          <w:color w:val="000000"/>
          <w:sz w:val="24"/>
          <w:szCs w:val="24"/>
        </w:rPr>
        <w:t>now is the time to start preparing to protect yo</w:t>
      </w:r>
      <w:r w:rsidR="00184C6C">
        <w:rPr>
          <w:rFonts w:ascii="Times New Roman" w:hAnsi="Times New Roman" w:cs="Times New Roman"/>
          <w:color w:val="000000"/>
          <w:sz w:val="24"/>
          <w:szCs w:val="24"/>
        </w:rPr>
        <w:t xml:space="preserve">ur retirement </w:t>
      </w:r>
      <w:r w:rsidR="000E3D49">
        <w:rPr>
          <w:rFonts w:ascii="Times New Roman" w:hAnsi="Times New Roman" w:cs="Times New Roman"/>
          <w:color w:val="000000"/>
          <w:sz w:val="24"/>
          <w:szCs w:val="24"/>
        </w:rPr>
        <w:t>savings</w:t>
      </w:r>
      <w:r w:rsidR="003D27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strategies </w:t>
      </w:r>
      <w:r w:rsidR="002A1C75">
        <w:rPr>
          <w:rFonts w:ascii="Times New Roman" w:hAnsi="Times New Roman" w:cs="Times New Roman"/>
          <w:color w:val="000000"/>
          <w:sz w:val="24"/>
          <w:szCs w:val="24"/>
        </w:rPr>
        <w:t>we will cover today</w:t>
      </w:r>
      <w:r w:rsidR="001A2F61">
        <w:rPr>
          <w:rFonts w:ascii="Times New Roman" w:hAnsi="Times New Roman" w:cs="Times New Roman"/>
          <w:color w:val="000000"/>
          <w:sz w:val="24"/>
          <w:szCs w:val="24"/>
        </w:rPr>
        <w:t xml:space="preserve"> </w:t>
      </w:r>
      <w:r w:rsidR="00E72EE3">
        <w:rPr>
          <w:rFonts w:ascii="Times New Roman" w:hAnsi="Times New Roman" w:cs="Times New Roman"/>
          <w:color w:val="000000"/>
          <w:sz w:val="24"/>
          <w:szCs w:val="24"/>
        </w:rPr>
        <w:t xml:space="preserve">can </w:t>
      </w:r>
      <w:r>
        <w:rPr>
          <w:rFonts w:ascii="Times New Roman" w:hAnsi="Times New Roman" w:cs="Times New Roman"/>
          <w:color w:val="000000"/>
          <w:sz w:val="24"/>
          <w:szCs w:val="24"/>
        </w:rPr>
        <w:t xml:space="preserve">help </w:t>
      </w:r>
      <w:r w:rsidR="001A2F6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protect what </w:t>
      </w:r>
      <w:proofErr w:type="gramStart"/>
      <w:r>
        <w:rPr>
          <w:rFonts w:ascii="Times New Roman" w:hAnsi="Times New Roman" w:cs="Times New Roman"/>
          <w:color w:val="000000"/>
          <w:sz w:val="24"/>
          <w:szCs w:val="24"/>
        </w:rPr>
        <w:t>you</w:t>
      </w:r>
      <w:r w:rsidR="0068227A">
        <w:rPr>
          <w:rFonts w:ascii="Times New Roman" w:hAnsi="Times New Roman" w:cs="Times New Roman"/>
          <w:color w:val="000000"/>
          <w:sz w:val="24"/>
          <w:szCs w:val="24"/>
        </w:rPr>
        <w:t>’ve</w:t>
      </w:r>
      <w:proofErr w:type="gramEnd"/>
      <w:r w:rsidR="006822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worked so hard to </w:t>
      </w:r>
      <w:r w:rsidR="0068227A">
        <w:rPr>
          <w:rFonts w:ascii="Times New Roman" w:hAnsi="Times New Roman" w:cs="Times New Roman"/>
          <w:color w:val="000000"/>
          <w:sz w:val="24"/>
          <w:szCs w:val="24"/>
        </w:rPr>
        <w:t>earn and</w:t>
      </w:r>
      <w:r w:rsidR="00E72EE3">
        <w:rPr>
          <w:rFonts w:ascii="Times New Roman" w:hAnsi="Times New Roman" w:cs="Times New Roman"/>
          <w:color w:val="000000"/>
          <w:sz w:val="24"/>
          <w:szCs w:val="24"/>
        </w:rPr>
        <w:t xml:space="preserve"> </w:t>
      </w:r>
      <w:r w:rsidR="001A2F61">
        <w:rPr>
          <w:rFonts w:ascii="Times New Roman" w:hAnsi="Times New Roman" w:cs="Times New Roman"/>
          <w:color w:val="000000"/>
          <w:sz w:val="24"/>
          <w:szCs w:val="24"/>
        </w:rPr>
        <w:t xml:space="preserve">can </w:t>
      </w:r>
      <w:r w:rsidR="00E72EE3">
        <w:rPr>
          <w:rFonts w:ascii="Times New Roman" w:hAnsi="Times New Roman" w:cs="Times New Roman"/>
          <w:color w:val="000000"/>
          <w:sz w:val="24"/>
          <w:szCs w:val="24"/>
        </w:rPr>
        <w:t>help keep you on track to enjoy the retirement you’ve always envisioned</w:t>
      </w:r>
      <w:r>
        <w:rPr>
          <w:rFonts w:ascii="Times New Roman" w:hAnsi="Times New Roman" w:cs="Times New Roman"/>
          <w:color w:val="000000"/>
          <w:sz w:val="24"/>
          <w:szCs w:val="24"/>
        </w:rPr>
        <w:t>.</w:t>
      </w:r>
      <w:r w:rsidR="0063301E">
        <w:rPr>
          <w:rFonts w:ascii="Times New Roman" w:hAnsi="Times New Roman" w:cs="Times New Roman"/>
          <w:color w:val="000000"/>
          <w:sz w:val="24"/>
          <w:szCs w:val="24"/>
        </w:rPr>
        <w:br/>
      </w:r>
      <w:r w:rsidR="0063301E">
        <w:rPr>
          <w:rFonts w:ascii="Times New Roman" w:hAnsi="Times New Roman" w:cs="Times New Roman"/>
          <w:color w:val="000000"/>
          <w:sz w:val="24"/>
          <w:szCs w:val="24"/>
        </w:rPr>
        <w:br/>
      </w:r>
      <w:r w:rsidR="00196A6C" w:rsidRPr="00196A6C">
        <w:rPr>
          <w:rFonts w:eastAsia="Calibri"/>
          <w:color w:val="4472C4" w:themeColor="accent1"/>
        </w:rPr>
        <w:t>My name is (Advisor’s Name),</w:t>
      </w:r>
      <w:r w:rsidR="00B54344">
        <w:rPr>
          <w:rFonts w:eastAsia="Calibri"/>
          <w:color w:val="4472C4" w:themeColor="accent1"/>
        </w:rPr>
        <w:t xml:space="preserve"> I’m the</w:t>
      </w:r>
      <w:r w:rsidR="00196A6C" w:rsidRPr="00196A6C">
        <w:rPr>
          <w:rFonts w:eastAsia="Calibri"/>
          <w:color w:val="4472C4" w:themeColor="accent1"/>
        </w:rPr>
        <w:t xml:space="preserve"> founder and president of (Company Name.) For the last (X Years) we’ve specialized in working exclusively with retirees and pre-retirees emphasizing income generation and asset protection.</w:t>
      </w:r>
      <w:r w:rsidR="00196A6C" w:rsidRPr="00196A6C">
        <w:rPr>
          <w:rFonts w:eastAsia="Calibri"/>
          <w:color w:val="4472C4" w:themeColor="accent1"/>
        </w:rPr>
        <w:br/>
      </w:r>
      <w:r w:rsidR="00196A6C" w:rsidRPr="00196A6C">
        <w:rPr>
          <w:rFonts w:eastAsia="Calibri"/>
          <w:color w:val="4472C4" w:themeColor="accent1"/>
        </w:rPr>
        <w:br/>
        <w:t xml:space="preserve">Our mission is to educate baby boomers on how to make sure their income lasts the rest of their life. The plain and simple truth is that the average baby boomer will most likely spend 20 to 30 years in retirement. </w:t>
      </w:r>
      <w:proofErr w:type="gramStart"/>
      <w:r w:rsidR="00196A6C" w:rsidRPr="00196A6C">
        <w:rPr>
          <w:rFonts w:eastAsia="Calibri"/>
          <w:color w:val="4472C4" w:themeColor="accent1"/>
        </w:rPr>
        <w:t>That’s</w:t>
      </w:r>
      <w:proofErr w:type="gramEnd"/>
      <w:r w:rsidR="00196A6C" w:rsidRPr="00196A6C">
        <w:rPr>
          <w:rFonts w:eastAsia="Calibri"/>
          <w:color w:val="4472C4" w:themeColor="accent1"/>
        </w:rPr>
        <w:t xml:space="preserve"> why you must have a financial plan in place to ensure your retirement savings will last that long.</w:t>
      </w:r>
      <w:r w:rsidR="00196A6C" w:rsidRPr="00196A6C">
        <w:rPr>
          <w:rFonts w:eastAsia="Calibri"/>
          <w:color w:val="4472C4" w:themeColor="accent1"/>
        </w:rPr>
        <w:br/>
      </w:r>
      <w:r w:rsidR="00196A6C" w:rsidRPr="00196A6C">
        <w:rPr>
          <w:rFonts w:eastAsia="Calibri"/>
          <w:color w:val="4472C4" w:themeColor="accent1"/>
        </w:rPr>
        <w:br/>
        <w:t xml:space="preserve">In addition, we're members of a national study group known as </w:t>
      </w:r>
      <w:r w:rsidR="00196A6C" w:rsidRPr="00196A6C">
        <w:rPr>
          <w:rFonts w:eastAsia="Calibri"/>
          <w:b/>
          <w:bCs/>
          <w:i/>
          <w:iCs/>
          <w:color w:val="4472C4" w:themeColor="accent1"/>
        </w:rPr>
        <w:t>Advisors</w:t>
      </w:r>
      <w:r w:rsidR="00B54344">
        <w:rPr>
          <w:rFonts w:eastAsia="Calibri"/>
          <w:b/>
          <w:bCs/>
          <w:i/>
          <w:iCs/>
          <w:color w:val="4472C4" w:themeColor="accent1"/>
        </w:rPr>
        <w:t>’</w:t>
      </w:r>
      <w:r w:rsidR="00196A6C" w:rsidRPr="00196A6C">
        <w:rPr>
          <w:rFonts w:eastAsia="Calibri"/>
          <w:b/>
          <w:bCs/>
          <w:i/>
          <w:iCs/>
          <w:color w:val="4472C4" w:themeColor="accent1"/>
        </w:rPr>
        <w:t xml:space="preserve"> Academy</w:t>
      </w:r>
      <w:r w:rsidR="00196A6C" w:rsidRPr="00196A6C">
        <w:rPr>
          <w:rFonts w:eastAsia="Calibri"/>
          <w:color w:val="4472C4" w:themeColor="accent1"/>
        </w:rPr>
        <w:t xml:space="preserve">. We have 40 different offices across the country, </w:t>
      </w:r>
      <w:r w:rsidR="00B54344">
        <w:rPr>
          <w:rFonts w:eastAsia="Calibri"/>
          <w:color w:val="4472C4" w:themeColor="accent1"/>
        </w:rPr>
        <w:t>each of us</w:t>
      </w:r>
      <w:r w:rsidR="00196A6C" w:rsidRPr="00196A6C">
        <w:rPr>
          <w:rFonts w:eastAsia="Calibri"/>
          <w:color w:val="4472C4" w:themeColor="accent1"/>
        </w:rPr>
        <w:t xml:space="preserve"> own independent businesses, and </w:t>
      </w:r>
      <w:proofErr w:type="gramStart"/>
      <w:r w:rsidR="00196A6C" w:rsidRPr="00196A6C">
        <w:rPr>
          <w:rFonts w:eastAsia="Calibri"/>
          <w:color w:val="4472C4" w:themeColor="accent1"/>
        </w:rPr>
        <w:t>we've</w:t>
      </w:r>
      <w:proofErr w:type="gramEnd"/>
      <w:r w:rsidR="00196A6C" w:rsidRPr="00196A6C">
        <w:rPr>
          <w:rFonts w:eastAsia="Calibri"/>
          <w:color w:val="4472C4" w:themeColor="accent1"/>
        </w:rPr>
        <w:t xml:space="preserve"> hired a</w:t>
      </w:r>
      <w:r w:rsidR="00B54344">
        <w:rPr>
          <w:rFonts w:eastAsia="Calibri"/>
          <w:color w:val="4472C4" w:themeColor="accent1"/>
        </w:rPr>
        <w:t>n</w:t>
      </w:r>
      <w:r w:rsidR="00196A6C" w:rsidRPr="00196A6C">
        <w:rPr>
          <w:rFonts w:eastAsia="Calibri"/>
          <w:color w:val="4472C4" w:themeColor="accent1"/>
        </w:rPr>
        <w:t xml:space="preserve"> institutional money management team with chartered financial analysts to make sure our clients have a foundation of consistent, reliable income for their retirement.</w:t>
      </w:r>
    </w:p>
    <w:p w14:paraId="318AC6BC" w14:textId="1A0C7AE8" w:rsidR="003D77FA" w:rsidRPr="003D77FA" w:rsidRDefault="003D77FA" w:rsidP="003D77FA">
      <w:pPr>
        <w:spacing w:before="240" w:beforeAutospacing="1"/>
        <w:rPr>
          <w:rFonts w:eastAsia="Calibri"/>
          <w:color w:val="4472C4" w:themeColor="accent1"/>
        </w:rPr>
      </w:pPr>
      <w:r w:rsidRPr="003D77FA">
        <w:rPr>
          <w:rFonts w:eastAsia="Calibri"/>
          <w:color w:val="4472C4" w:themeColor="accent1"/>
        </w:rPr>
        <w:t>Alright, so now let's move on to talking about you and what you need to do to be prepared and protect your money in 2021. However, before we do, I would like to say that if any of the following situations I’m about to describe apply to you, you will want to make sure to stay until the end of the webinar.</w:t>
      </w:r>
    </w:p>
    <w:p w14:paraId="24C70B77" w14:textId="0CC8EF2D" w:rsidR="003D77FA" w:rsidRPr="003D77FA" w:rsidRDefault="003D77FA" w:rsidP="003D77FA">
      <w:pPr>
        <w:pStyle w:val="ListParagraph"/>
        <w:numPr>
          <w:ilvl w:val="0"/>
          <w:numId w:val="4"/>
        </w:numPr>
        <w:spacing w:before="240" w:beforeAutospacing="1"/>
        <w:rPr>
          <w:rFonts w:eastAsia="Calibri"/>
          <w:color w:val="4472C4" w:themeColor="accent1"/>
        </w:rPr>
      </w:pPr>
      <w:r w:rsidRPr="003D77FA">
        <w:rPr>
          <w:rFonts w:eastAsia="Calibri"/>
          <w:color w:val="4472C4" w:themeColor="accent1"/>
        </w:rPr>
        <w:t>First, if you lost money in common stocks or stock mutual funds this past year</w:t>
      </w:r>
    </w:p>
    <w:p w14:paraId="030F9DD0" w14:textId="77777777" w:rsidR="003D77FA" w:rsidRPr="003D77FA" w:rsidRDefault="003D77FA" w:rsidP="003D77FA">
      <w:pPr>
        <w:pStyle w:val="ListParagraph"/>
        <w:numPr>
          <w:ilvl w:val="0"/>
          <w:numId w:val="4"/>
        </w:numPr>
        <w:spacing w:before="240" w:beforeAutospacing="1"/>
        <w:rPr>
          <w:rFonts w:eastAsia="Calibri"/>
          <w:color w:val="4472C4" w:themeColor="accent1"/>
        </w:rPr>
      </w:pPr>
      <w:r w:rsidRPr="003D77FA">
        <w:rPr>
          <w:rFonts w:eastAsia="Calibri"/>
          <w:color w:val="4472C4" w:themeColor="accent1"/>
        </w:rPr>
        <w:lastRenderedPageBreak/>
        <w:t>Second, if you're retired and don't want to reduce your lifestyle, or you don't want to go back to work.</w:t>
      </w:r>
    </w:p>
    <w:p w14:paraId="0925F647" w14:textId="77777777" w:rsidR="003D77FA" w:rsidRPr="003D77FA" w:rsidRDefault="003D77FA" w:rsidP="003D77FA">
      <w:pPr>
        <w:pStyle w:val="ListParagraph"/>
        <w:numPr>
          <w:ilvl w:val="0"/>
          <w:numId w:val="4"/>
        </w:numPr>
        <w:spacing w:before="240" w:beforeAutospacing="1"/>
        <w:rPr>
          <w:rFonts w:eastAsia="Calibri"/>
          <w:color w:val="4472C4" w:themeColor="accent1"/>
        </w:rPr>
      </w:pPr>
      <w:r w:rsidRPr="003D77FA">
        <w:rPr>
          <w:rFonts w:eastAsia="Calibri"/>
          <w:color w:val="4472C4" w:themeColor="accent1"/>
        </w:rPr>
        <w:t>Third, if you plan on retiring within the next 10 years, and you really don't want to face the prospect of postponing retirement</w:t>
      </w:r>
    </w:p>
    <w:p w14:paraId="1065C0BD" w14:textId="08A11725" w:rsidR="003D77FA" w:rsidRPr="003D77FA" w:rsidRDefault="00DC2911" w:rsidP="003D77FA">
      <w:pPr>
        <w:pStyle w:val="ListParagraph"/>
        <w:numPr>
          <w:ilvl w:val="0"/>
          <w:numId w:val="4"/>
        </w:numPr>
        <w:spacing w:before="240" w:beforeAutospacing="1"/>
        <w:rPr>
          <w:rFonts w:eastAsia="Calibri"/>
          <w:color w:val="4472C4" w:themeColor="accent1"/>
        </w:rPr>
      </w:pPr>
      <w:r>
        <w:rPr>
          <w:rFonts w:eastAsia="Calibri"/>
          <w:color w:val="4472C4" w:themeColor="accent1"/>
        </w:rPr>
        <w:t>Finally</w:t>
      </w:r>
      <w:r w:rsidR="003D77FA" w:rsidRPr="003D77FA">
        <w:rPr>
          <w:rFonts w:eastAsia="Calibri"/>
          <w:color w:val="4472C4" w:themeColor="accent1"/>
        </w:rPr>
        <w:t xml:space="preserve">, </w:t>
      </w:r>
      <w:proofErr w:type="gramStart"/>
      <w:r w:rsidR="003D77FA" w:rsidRPr="003D77FA">
        <w:rPr>
          <w:rFonts w:eastAsia="Calibri"/>
          <w:color w:val="4472C4" w:themeColor="accent1"/>
        </w:rPr>
        <w:t>you’ll</w:t>
      </w:r>
      <w:proofErr w:type="gramEnd"/>
      <w:r w:rsidR="003D77FA" w:rsidRPr="003D77FA">
        <w:rPr>
          <w:rFonts w:eastAsia="Calibri"/>
          <w:color w:val="4472C4" w:themeColor="accent1"/>
        </w:rPr>
        <w:t xml:space="preserve"> want to make sure to stay until the end of the workshop if you're not 100% sure that you're insulated from a potential stock market drop</w:t>
      </w:r>
    </w:p>
    <w:p w14:paraId="6AEB2826" w14:textId="77777777" w:rsidR="003D77FA" w:rsidRPr="003D77FA" w:rsidRDefault="003D77FA" w:rsidP="003D77FA">
      <w:pPr>
        <w:spacing w:before="240" w:beforeAutospacing="1"/>
        <w:rPr>
          <w:rFonts w:eastAsia="Calibri"/>
          <w:color w:val="4472C4" w:themeColor="accent1"/>
        </w:rPr>
      </w:pPr>
      <w:r w:rsidRPr="003D77FA">
        <w:rPr>
          <w:rFonts w:eastAsia="Calibri"/>
          <w:color w:val="4472C4" w:themeColor="accent1"/>
        </w:rPr>
        <w:t>If you stay until the end, guess what? There'll be a special gift just for you. It's not going to be wrapped with a blue ribbon in a package quite like what you see on your screen, but you will receive a special offer, only if you stay until the end. This offer can help you increase your sense of financial security throughout your retirement—especially if any of the situations I just described apply to you. So, make sure you stay with us.</w:t>
      </w:r>
    </w:p>
    <w:p w14:paraId="7492E95C" w14:textId="77777777" w:rsidR="002A1C75" w:rsidRPr="0063301E" w:rsidRDefault="002A1C75" w:rsidP="00381D38">
      <w:pPr>
        <w:ind w:right="630"/>
        <w:rPr>
          <w:rFonts w:ascii="Times New Roman" w:hAnsi="Times New Roman" w:cs="Times New Roman"/>
          <w:color w:val="4472C4" w:themeColor="accent1"/>
          <w:sz w:val="24"/>
          <w:szCs w:val="24"/>
        </w:rPr>
      </w:pPr>
    </w:p>
    <w:p w14:paraId="26ACB475" w14:textId="77777777" w:rsidR="002E1B84" w:rsidRDefault="002A1C75" w:rsidP="00381D38">
      <w:pPr>
        <w:ind w:right="630"/>
        <w:rPr>
          <w:rFonts w:ascii="Times New Roman" w:eastAsia="Times New Roman" w:hAnsi="Times New Roman" w:cs="Times New Roman"/>
          <w:b/>
          <w:bCs/>
          <w:color w:val="0070C0"/>
          <w:sz w:val="28"/>
          <w:szCs w:val="28"/>
        </w:rPr>
      </w:pPr>
      <w:r w:rsidRPr="003A5DE8">
        <w:rPr>
          <w:rFonts w:ascii="Times New Roman" w:eastAsia="Times New Roman" w:hAnsi="Times New Roman" w:cs="Times New Roman"/>
          <w:b/>
          <w:bCs/>
          <w:color w:val="0070C0"/>
          <w:sz w:val="28"/>
          <w:szCs w:val="28"/>
        </w:rPr>
        <w:t>1. How the Election Outcome Could Impact the Financial Markets</w:t>
      </w:r>
    </w:p>
    <w:p w14:paraId="35772B50" w14:textId="548D33F2" w:rsidR="002A1C75" w:rsidRPr="006B6218" w:rsidRDefault="002E1B84" w:rsidP="00381D38">
      <w:pPr>
        <w:ind w:right="630"/>
        <w:rPr>
          <w:rFonts w:ascii="Times New Roman" w:hAnsi="Times New Roman" w:cs="Times New Roman"/>
          <w:b/>
          <w:bCs/>
          <w:sz w:val="24"/>
          <w:szCs w:val="24"/>
        </w:rPr>
      </w:pPr>
      <w:r w:rsidRPr="002E1B84">
        <w:rPr>
          <w:rFonts w:ascii="Times New Roman" w:eastAsia="Times New Roman" w:hAnsi="Times New Roman" w:cs="Times New Roman"/>
          <w:color w:val="C00000"/>
          <w:sz w:val="28"/>
          <w:szCs w:val="28"/>
        </w:rPr>
        <w:t>&lt;taken from TIG Show script; “Election Outcomes”&gt;</w:t>
      </w:r>
      <w:r w:rsidR="002A1C75">
        <w:rPr>
          <w:rFonts w:ascii="Times New Roman" w:eastAsia="Times New Roman" w:hAnsi="Times New Roman" w:cs="Times New Roman"/>
          <w:b/>
          <w:bCs/>
          <w:sz w:val="28"/>
          <w:szCs w:val="28"/>
        </w:rPr>
        <w:br/>
      </w:r>
      <w:r w:rsidR="002A1C75">
        <w:rPr>
          <w:rFonts w:ascii="Times New Roman" w:eastAsia="Times New Roman" w:hAnsi="Times New Roman" w:cs="Times New Roman"/>
          <w:b/>
          <w:bCs/>
          <w:sz w:val="28"/>
          <w:szCs w:val="28"/>
        </w:rPr>
        <w:br/>
      </w:r>
      <w:r w:rsidR="002A1C75" w:rsidRPr="00C305F0">
        <w:rPr>
          <w:rFonts w:ascii="Times New Roman" w:hAnsi="Times New Roman" w:cs="Times New Roman"/>
          <w:sz w:val="24"/>
          <w:szCs w:val="24"/>
        </w:rPr>
        <w:t>We all remember the so-called “Trump bump,” when the stock market enjoyed a ride upward following Donald Trump’s presidential victory in 2016.</w:t>
      </w:r>
      <w:r w:rsidR="002A1C75" w:rsidRPr="00C305F0">
        <w:rPr>
          <w:rFonts w:ascii="Times New Roman" w:hAnsi="Times New Roman" w:cs="Times New Roman"/>
          <w:b/>
          <w:bCs/>
          <w:sz w:val="24"/>
          <w:szCs w:val="24"/>
        </w:rPr>
        <w:t xml:space="preserve"> </w:t>
      </w:r>
      <w:r w:rsidR="002A1C75" w:rsidRPr="00C305F0">
        <w:rPr>
          <w:rFonts w:ascii="Times New Roman" w:hAnsi="Times New Roman" w:cs="Times New Roman"/>
          <w:sz w:val="24"/>
          <w:szCs w:val="24"/>
        </w:rPr>
        <w:t xml:space="preserve">As dramatic as it may have seemed, a post-election market spike is not uncommon. </w:t>
      </w:r>
      <w:r w:rsidR="002A1C75" w:rsidRPr="00C305F0">
        <w:rPr>
          <w:rFonts w:ascii="Times New Roman" w:hAnsi="Times New Roman" w:cs="Times New Roman"/>
          <w:sz w:val="24"/>
          <w:szCs w:val="24"/>
        </w:rPr>
        <w:br/>
      </w:r>
      <w:r w:rsidR="002A1C75" w:rsidRPr="00C305F0">
        <w:rPr>
          <w:rFonts w:ascii="Times New Roman" w:hAnsi="Times New Roman" w:cs="Times New Roman"/>
          <w:sz w:val="24"/>
          <w:szCs w:val="24"/>
        </w:rPr>
        <w:br/>
        <w:t>Many presidents have enjoyed similar “honeymoon periods”, where the stock market spiked during their first year in office, including Herbert Hoover, Dwight D. Eisenhower, John F. Kennedy, Bill Clinton, and others. Then, following the post-election spike, according to history</w:t>
      </w:r>
      <w:r w:rsidR="0068227A">
        <w:rPr>
          <w:rFonts w:ascii="Times New Roman" w:hAnsi="Times New Roman" w:cs="Times New Roman"/>
          <w:sz w:val="24"/>
          <w:szCs w:val="24"/>
        </w:rPr>
        <w:t>,</w:t>
      </w:r>
      <w:r w:rsidR="002A1C75" w:rsidRPr="00C305F0">
        <w:rPr>
          <w:rFonts w:ascii="Times New Roman" w:hAnsi="Times New Roman" w:cs="Times New Roman"/>
          <w:sz w:val="24"/>
          <w:szCs w:val="24"/>
        </w:rPr>
        <w:t xml:space="preserve"> </w:t>
      </w:r>
      <w:r w:rsidR="002A1C75" w:rsidRPr="00C305F0">
        <w:rPr>
          <w:rFonts w:ascii="Times New Roman" w:eastAsia="Times New Roman" w:hAnsi="Times New Roman" w:cs="Times New Roman"/>
          <w:spacing w:val="4"/>
          <w:sz w:val="24"/>
          <w:szCs w:val="24"/>
        </w:rPr>
        <w:t xml:space="preserve">stock market returns tend to be slightly </w:t>
      </w:r>
      <w:proofErr w:type="gramStart"/>
      <w:r w:rsidR="002A1C75" w:rsidRPr="00C305F0">
        <w:rPr>
          <w:rFonts w:ascii="Times New Roman" w:eastAsia="Times New Roman" w:hAnsi="Times New Roman" w:cs="Times New Roman"/>
          <w:spacing w:val="4"/>
          <w:sz w:val="24"/>
          <w:szCs w:val="24"/>
        </w:rPr>
        <w:t>lower</w:t>
      </w:r>
      <w:proofErr w:type="gramEnd"/>
      <w:r w:rsidR="002A1C75" w:rsidRPr="00C305F0">
        <w:rPr>
          <w:rFonts w:ascii="Times New Roman" w:eastAsia="Times New Roman" w:hAnsi="Times New Roman" w:cs="Times New Roman"/>
          <w:spacing w:val="4"/>
          <w:sz w:val="24"/>
          <w:szCs w:val="24"/>
        </w:rPr>
        <w:t xml:space="preserve"> the following year. And, although the impact of a presidential election can seem dramatic in the short term, it usually means little in the broader picture.</w:t>
      </w:r>
      <w:r w:rsidR="002A1C75" w:rsidRPr="00C305F0">
        <w:rPr>
          <w:rFonts w:ascii="Times New Roman" w:eastAsia="Times New Roman" w:hAnsi="Times New Roman" w:cs="Times New Roman"/>
          <w:spacing w:val="4"/>
          <w:sz w:val="24"/>
          <w:szCs w:val="24"/>
        </w:rPr>
        <w:br/>
      </w:r>
      <w:r w:rsidR="002A1C75" w:rsidRPr="00C305F0">
        <w:rPr>
          <w:rFonts w:ascii="Times New Roman" w:eastAsia="Times New Roman" w:hAnsi="Times New Roman" w:cs="Times New Roman"/>
          <w:spacing w:val="4"/>
          <w:sz w:val="24"/>
          <w:szCs w:val="24"/>
        </w:rPr>
        <w:br/>
        <w:t>When the presidency changes hands, as is the case with President elec</w:t>
      </w:r>
      <w:r w:rsidR="002A1C75">
        <w:rPr>
          <w:rFonts w:ascii="Times New Roman" w:eastAsia="Times New Roman" w:hAnsi="Times New Roman" w:cs="Times New Roman"/>
          <w:spacing w:val="4"/>
          <w:sz w:val="24"/>
          <w:szCs w:val="24"/>
        </w:rPr>
        <w:t xml:space="preserve">t </w:t>
      </w:r>
      <w:r w:rsidR="002A1C75" w:rsidRPr="00C305F0">
        <w:rPr>
          <w:rFonts w:ascii="Times New Roman" w:eastAsia="Times New Roman" w:hAnsi="Times New Roman" w:cs="Times New Roman"/>
          <w:spacing w:val="4"/>
          <w:sz w:val="24"/>
          <w:szCs w:val="24"/>
        </w:rPr>
        <w:t>Joe Biden, stock market gains average 5</w:t>
      </w:r>
      <w:r w:rsidR="002A1C75">
        <w:rPr>
          <w:rFonts w:ascii="Times New Roman" w:eastAsia="Times New Roman" w:hAnsi="Times New Roman" w:cs="Times New Roman"/>
          <w:spacing w:val="4"/>
          <w:sz w:val="24"/>
          <w:szCs w:val="24"/>
        </w:rPr>
        <w:t xml:space="preserve">%, and </w:t>
      </w:r>
      <w:r w:rsidR="002A1C75" w:rsidRPr="00C305F0">
        <w:rPr>
          <w:rFonts w:ascii="Times New Roman" w:eastAsia="Times New Roman" w:hAnsi="Times New Roman" w:cs="Times New Roman"/>
          <w:spacing w:val="4"/>
          <w:sz w:val="24"/>
          <w:szCs w:val="24"/>
        </w:rPr>
        <w:t>when the same president is re-elected, 6.5</w:t>
      </w:r>
      <w:r w:rsidR="002A1C75">
        <w:rPr>
          <w:rFonts w:ascii="Times New Roman" w:eastAsia="Times New Roman" w:hAnsi="Times New Roman" w:cs="Times New Roman"/>
          <w:spacing w:val="4"/>
          <w:sz w:val="24"/>
          <w:szCs w:val="24"/>
        </w:rPr>
        <w:t>%</w:t>
      </w:r>
      <w:r w:rsidR="002A1C75" w:rsidRPr="00C305F0">
        <w:rPr>
          <w:rFonts w:ascii="Times New Roman" w:eastAsia="Times New Roman" w:hAnsi="Times New Roman" w:cs="Times New Roman"/>
          <w:spacing w:val="4"/>
          <w:sz w:val="24"/>
          <w:szCs w:val="24"/>
        </w:rPr>
        <w:t xml:space="preserve">—according to the analysis conducted by US Bank. Of course, these figures are based on historical averages </w:t>
      </w:r>
      <w:r w:rsidR="002A1C75">
        <w:rPr>
          <w:rFonts w:ascii="Times New Roman" w:eastAsia="Times New Roman" w:hAnsi="Times New Roman" w:cs="Times New Roman"/>
          <w:spacing w:val="4"/>
          <w:sz w:val="24"/>
          <w:szCs w:val="24"/>
        </w:rPr>
        <w:t xml:space="preserve">and </w:t>
      </w:r>
      <w:r w:rsidR="002A1C75" w:rsidRPr="00C305F0">
        <w:rPr>
          <w:rFonts w:ascii="Times New Roman" w:eastAsia="Times New Roman" w:hAnsi="Times New Roman" w:cs="Times New Roman"/>
          <w:spacing w:val="4"/>
          <w:sz w:val="24"/>
          <w:szCs w:val="24"/>
        </w:rPr>
        <w:t>can differ greatly from one election to the next.</w:t>
      </w:r>
      <w:r w:rsidR="00425A9F">
        <w:rPr>
          <w:rFonts w:ascii="Times New Roman" w:eastAsia="Times New Roman" w:hAnsi="Times New Roman" w:cs="Times New Roman"/>
          <w:spacing w:val="4"/>
          <w:sz w:val="24"/>
          <w:szCs w:val="24"/>
          <w:vertAlign w:val="superscript"/>
        </w:rPr>
        <w:t>1</w:t>
      </w:r>
      <w:r w:rsidR="002A1C75">
        <w:rPr>
          <w:rFonts w:ascii="Times New Roman" w:eastAsia="Times New Roman" w:hAnsi="Times New Roman" w:cs="Times New Roman"/>
          <w:spacing w:val="4"/>
          <w:sz w:val="24"/>
          <w:szCs w:val="24"/>
        </w:rPr>
        <w:br/>
      </w:r>
      <w:r w:rsidR="002A1C75">
        <w:rPr>
          <w:rFonts w:ascii="Times New Roman" w:eastAsia="Times New Roman" w:hAnsi="Times New Roman" w:cs="Times New Roman"/>
          <w:spacing w:val="4"/>
          <w:sz w:val="24"/>
          <w:szCs w:val="24"/>
        </w:rPr>
        <w:br/>
      </w:r>
      <w:r w:rsidR="002A1C75" w:rsidRPr="00C305F0">
        <w:rPr>
          <w:rFonts w:ascii="Times New Roman" w:eastAsia="Times New Roman" w:hAnsi="Times New Roman" w:cs="Times New Roman"/>
          <w:spacing w:val="4"/>
          <w:sz w:val="24"/>
          <w:szCs w:val="24"/>
        </w:rPr>
        <w:t>For example, Donald Trump’s honeymoon period lasted longer than normal, and in the year following his election all the major market indexes rose by 20</w:t>
      </w:r>
      <w:r w:rsidR="002A1C75">
        <w:rPr>
          <w:rFonts w:ascii="Times New Roman" w:eastAsia="Times New Roman" w:hAnsi="Times New Roman" w:cs="Times New Roman"/>
          <w:spacing w:val="4"/>
          <w:sz w:val="24"/>
          <w:szCs w:val="24"/>
        </w:rPr>
        <w:t xml:space="preserve">% </w:t>
      </w:r>
      <w:r w:rsidR="002A1C75" w:rsidRPr="00C305F0">
        <w:rPr>
          <w:rFonts w:ascii="Times New Roman" w:eastAsia="Times New Roman" w:hAnsi="Times New Roman" w:cs="Times New Roman"/>
          <w:spacing w:val="4"/>
          <w:sz w:val="24"/>
          <w:szCs w:val="24"/>
        </w:rPr>
        <w:t xml:space="preserve">or more. Of course, this election </w:t>
      </w:r>
      <w:r w:rsidR="002A1C75">
        <w:rPr>
          <w:rFonts w:ascii="Times New Roman" w:eastAsia="Times New Roman" w:hAnsi="Times New Roman" w:cs="Times New Roman"/>
          <w:spacing w:val="4"/>
          <w:sz w:val="24"/>
          <w:szCs w:val="24"/>
        </w:rPr>
        <w:t xml:space="preserve">was </w:t>
      </w:r>
      <w:r w:rsidR="002A1C75" w:rsidRPr="00C305F0">
        <w:rPr>
          <w:rFonts w:ascii="Times New Roman" w:eastAsia="Times New Roman" w:hAnsi="Times New Roman" w:cs="Times New Roman"/>
          <w:spacing w:val="4"/>
          <w:sz w:val="24"/>
          <w:szCs w:val="24"/>
        </w:rPr>
        <w:t xml:space="preserve">different in many ways – the most obvious being that the COVID-19 pandemic is still fueling massive economic uncertainty and another being how long it </w:t>
      </w:r>
      <w:r w:rsidR="002A1C75">
        <w:rPr>
          <w:rFonts w:ascii="Times New Roman" w:eastAsia="Times New Roman" w:hAnsi="Times New Roman" w:cs="Times New Roman"/>
          <w:spacing w:val="4"/>
          <w:sz w:val="24"/>
          <w:szCs w:val="24"/>
        </w:rPr>
        <w:t xml:space="preserve">took </w:t>
      </w:r>
      <w:r w:rsidR="002A1C75" w:rsidRPr="00C305F0">
        <w:rPr>
          <w:rFonts w:ascii="Times New Roman" w:eastAsia="Times New Roman" w:hAnsi="Times New Roman" w:cs="Times New Roman"/>
          <w:spacing w:val="4"/>
          <w:sz w:val="24"/>
          <w:szCs w:val="24"/>
        </w:rPr>
        <w:t xml:space="preserve">to declare </w:t>
      </w:r>
      <w:r w:rsidR="002A1C75">
        <w:rPr>
          <w:rFonts w:ascii="Times New Roman" w:eastAsia="Times New Roman" w:hAnsi="Times New Roman" w:cs="Times New Roman"/>
          <w:spacing w:val="4"/>
          <w:sz w:val="24"/>
          <w:szCs w:val="24"/>
        </w:rPr>
        <w:t xml:space="preserve">the </w:t>
      </w:r>
      <w:r w:rsidR="002A1C75" w:rsidRPr="00C305F0">
        <w:rPr>
          <w:rFonts w:ascii="Times New Roman" w:eastAsia="Times New Roman" w:hAnsi="Times New Roman" w:cs="Times New Roman"/>
          <w:spacing w:val="4"/>
          <w:sz w:val="24"/>
          <w:szCs w:val="24"/>
        </w:rPr>
        <w:t>official winners</w:t>
      </w:r>
      <w:r w:rsidR="002A1C75" w:rsidRPr="006B6218">
        <w:rPr>
          <w:rFonts w:ascii="Times New Roman" w:hAnsi="Times New Roman" w:cs="Times New Roman"/>
          <w:sz w:val="24"/>
          <w:szCs w:val="24"/>
        </w:rPr>
        <w:t xml:space="preserve">. </w:t>
      </w:r>
      <w:r w:rsidR="002A1C75">
        <w:rPr>
          <w:rFonts w:ascii="Times New Roman" w:hAnsi="Times New Roman" w:cs="Times New Roman"/>
          <w:sz w:val="24"/>
          <w:szCs w:val="24"/>
        </w:rPr>
        <w:br/>
      </w:r>
      <w:r w:rsidR="002A1C75">
        <w:rPr>
          <w:rFonts w:ascii="Times New Roman" w:hAnsi="Times New Roman" w:cs="Times New Roman"/>
          <w:sz w:val="24"/>
          <w:szCs w:val="24"/>
        </w:rPr>
        <w:br/>
      </w:r>
      <w:r w:rsidR="002A1C75" w:rsidRPr="006B6218">
        <w:rPr>
          <w:rFonts w:ascii="Times New Roman" w:hAnsi="Times New Roman" w:cs="Times New Roman"/>
          <w:sz w:val="24"/>
          <w:szCs w:val="24"/>
        </w:rPr>
        <w:t xml:space="preserve">With the Senate contest in Georgia too close to call </w:t>
      </w:r>
      <w:r w:rsidR="00414483">
        <w:rPr>
          <w:rFonts w:ascii="Times New Roman" w:hAnsi="Times New Roman" w:cs="Times New Roman"/>
          <w:sz w:val="24"/>
          <w:szCs w:val="24"/>
        </w:rPr>
        <w:t>and the winners in both contests yet to be determined</w:t>
      </w:r>
      <w:r w:rsidR="002A1C75" w:rsidRPr="006B6218">
        <w:rPr>
          <w:rFonts w:ascii="Times New Roman" w:hAnsi="Times New Roman" w:cs="Times New Roman"/>
          <w:sz w:val="24"/>
          <w:szCs w:val="24"/>
        </w:rPr>
        <w:t>, it</w:t>
      </w:r>
      <w:r w:rsidR="002A1C75">
        <w:rPr>
          <w:rFonts w:ascii="Times New Roman" w:hAnsi="Times New Roman" w:cs="Times New Roman"/>
          <w:sz w:val="24"/>
          <w:szCs w:val="24"/>
        </w:rPr>
        <w:t xml:space="preserve"> </w:t>
      </w:r>
      <w:r w:rsidR="002A1C75" w:rsidRPr="006B6218">
        <w:rPr>
          <w:rFonts w:ascii="Times New Roman" w:hAnsi="Times New Roman" w:cs="Times New Roman"/>
          <w:sz w:val="24"/>
          <w:szCs w:val="24"/>
        </w:rPr>
        <w:t>look</w:t>
      </w:r>
      <w:r w:rsidR="002A1C75">
        <w:rPr>
          <w:rFonts w:ascii="Times New Roman" w:hAnsi="Times New Roman" w:cs="Times New Roman"/>
          <w:sz w:val="24"/>
          <w:szCs w:val="24"/>
        </w:rPr>
        <w:t xml:space="preserve">s </w:t>
      </w:r>
      <w:r w:rsidR="002A1C75" w:rsidRPr="006B6218">
        <w:rPr>
          <w:rFonts w:ascii="Times New Roman" w:hAnsi="Times New Roman" w:cs="Times New Roman"/>
          <w:sz w:val="24"/>
          <w:szCs w:val="24"/>
        </w:rPr>
        <w:t xml:space="preserve">possible that </w:t>
      </w:r>
      <w:r w:rsidR="0068227A">
        <w:rPr>
          <w:rFonts w:ascii="Times New Roman" w:hAnsi="Times New Roman" w:cs="Times New Roman"/>
          <w:sz w:val="24"/>
          <w:szCs w:val="24"/>
        </w:rPr>
        <w:t xml:space="preserve">congressional </w:t>
      </w:r>
      <w:r w:rsidR="002A1C75" w:rsidRPr="006B6218">
        <w:rPr>
          <w:rFonts w:ascii="Times New Roman" w:hAnsi="Times New Roman" w:cs="Times New Roman"/>
          <w:sz w:val="24"/>
          <w:szCs w:val="24"/>
        </w:rPr>
        <w:t xml:space="preserve">power could be split down the middle. Or, whoever ends up winning the majority will hold a thin margin, which could be </w:t>
      </w:r>
      <w:r w:rsidR="0068227A">
        <w:rPr>
          <w:rFonts w:ascii="Times New Roman" w:hAnsi="Times New Roman" w:cs="Times New Roman"/>
          <w:sz w:val="24"/>
          <w:szCs w:val="24"/>
        </w:rPr>
        <w:t xml:space="preserve">a </w:t>
      </w:r>
      <w:r w:rsidR="002A1C75" w:rsidRPr="006B6218">
        <w:rPr>
          <w:rFonts w:ascii="Times New Roman" w:hAnsi="Times New Roman" w:cs="Times New Roman"/>
          <w:sz w:val="24"/>
          <w:szCs w:val="24"/>
        </w:rPr>
        <w:t>good</w:t>
      </w:r>
      <w:r w:rsidR="0068227A">
        <w:rPr>
          <w:rFonts w:ascii="Times New Roman" w:hAnsi="Times New Roman" w:cs="Times New Roman"/>
          <w:sz w:val="24"/>
          <w:szCs w:val="24"/>
        </w:rPr>
        <w:t xml:space="preserve"> thing</w:t>
      </w:r>
      <w:r w:rsidR="002A1C75" w:rsidRPr="006B6218">
        <w:rPr>
          <w:rFonts w:ascii="Times New Roman" w:hAnsi="Times New Roman" w:cs="Times New Roman"/>
          <w:sz w:val="24"/>
          <w:szCs w:val="24"/>
        </w:rPr>
        <w:t xml:space="preserve"> for the stock market.</w:t>
      </w:r>
      <w:r w:rsidR="002A1C75" w:rsidRPr="006B6218">
        <w:rPr>
          <w:rFonts w:ascii="Times New Roman" w:hAnsi="Times New Roman" w:cs="Times New Roman"/>
          <w:sz w:val="24"/>
          <w:szCs w:val="24"/>
        </w:rPr>
        <w:br/>
      </w:r>
      <w:r w:rsidR="002A1C75" w:rsidRPr="006B6218">
        <w:rPr>
          <w:rFonts w:ascii="Times New Roman" w:hAnsi="Times New Roman" w:cs="Times New Roman"/>
          <w:sz w:val="24"/>
          <w:szCs w:val="24"/>
        </w:rPr>
        <w:br/>
        <w:t xml:space="preserve">History has shown that the stock market tends to perform better with a divided government. And some analysts feel it’s a best-case scenario because it offers some level </w:t>
      </w:r>
      <w:r w:rsidR="002A1C75" w:rsidRPr="006B6218">
        <w:rPr>
          <w:rFonts w:ascii="Times New Roman" w:hAnsi="Times New Roman" w:cs="Times New Roman"/>
          <w:sz w:val="24"/>
          <w:szCs w:val="24"/>
        </w:rPr>
        <w:lastRenderedPageBreak/>
        <w:t xml:space="preserve">of stability, plus the potential for more progress in addressing the COVID-19 crisis. </w:t>
      </w:r>
      <w:r w:rsidR="00414483">
        <w:rPr>
          <w:rFonts w:ascii="Times New Roman" w:hAnsi="Times New Roman" w:cs="Times New Roman"/>
          <w:sz w:val="24"/>
          <w:szCs w:val="24"/>
        </w:rPr>
        <w:br/>
      </w:r>
    </w:p>
    <w:p w14:paraId="39FED663" w14:textId="6B78020A" w:rsidR="002A1C75" w:rsidRPr="002A1C75" w:rsidRDefault="002A1C75" w:rsidP="00381D38">
      <w:pPr>
        <w:ind w:right="630"/>
        <w:rPr>
          <w:rFonts w:ascii="Times New Roman" w:hAnsi="Times New Roman" w:cs="Times New Roman"/>
          <w:color w:val="000000"/>
          <w:sz w:val="24"/>
          <w:szCs w:val="24"/>
        </w:rPr>
      </w:pPr>
      <w:r w:rsidRPr="00C305F0">
        <w:rPr>
          <w:rFonts w:ascii="Times New Roman" w:hAnsi="Times New Roman" w:cs="Times New Roman"/>
          <w:color w:val="000000" w:themeColor="text1"/>
          <w:sz w:val="24"/>
          <w:szCs w:val="24"/>
        </w:rPr>
        <w:t xml:space="preserve">The good news </w:t>
      </w:r>
      <w:r>
        <w:rPr>
          <w:rFonts w:ascii="Times New Roman" w:hAnsi="Times New Roman" w:cs="Times New Roman"/>
          <w:color w:val="000000" w:themeColor="text1"/>
          <w:sz w:val="24"/>
          <w:szCs w:val="24"/>
        </w:rPr>
        <w:t xml:space="preserve">is that </w:t>
      </w:r>
      <w:r w:rsidRPr="00C305F0">
        <w:rPr>
          <w:rFonts w:ascii="Times New Roman" w:hAnsi="Times New Roman" w:cs="Times New Roman"/>
          <w:color w:val="000000" w:themeColor="text1"/>
          <w:sz w:val="24"/>
          <w:szCs w:val="24"/>
        </w:rPr>
        <w:t xml:space="preserve">those who have switched their focus from investing for growth to investing for income, </w:t>
      </w:r>
      <w:r>
        <w:rPr>
          <w:rFonts w:ascii="Times New Roman" w:hAnsi="Times New Roman" w:cs="Times New Roman"/>
          <w:color w:val="000000" w:themeColor="text1"/>
          <w:sz w:val="24"/>
          <w:szCs w:val="24"/>
        </w:rPr>
        <w:t xml:space="preserve">are </w:t>
      </w:r>
      <w:r w:rsidRPr="00C305F0">
        <w:rPr>
          <w:rFonts w:ascii="Times New Roman" w:hAnsi="Times New Roman" w:cs="Times New Roman"/>
          <w:color w:val="000000" w:themeColor="text1"/>
          <w:sz w:val="24"/>
          <w:szCs w:val="24"/>
        </w:rPr>
        <w:t>well positioned to meet almost any challenge and take advantage of new opportunities that may arise.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C305F0">
        <w:rPr>
          <w:rFonts w:ascii="Times New Roman" w:hAnsi="Times New Roman" w:cs="Times New Roman"/>
          <w:color w:val="000000" w:themeColor="text1"/>
          <w:sz w:val="24"/>
          <w:szCs w:val="24"/>
        </w:rPr>
        <w:t>If you haven’t</w:t>
      </w:r>
      <w:r>
        <w:rPr>
          <w:rFonts w:ascii="Times New Roman" w:hAnsi="Times New Roman" w:cs="Times New Roman"/>
          <w:color w:val="000000" w:themeColor="text1"/>
          <w:sz w:val="24"/>
          <w:szCs w:val="24"/>
        </w:rPr>
        <w:t xml:space="preserve"> made </w:t>
      </w:r>
      <w:r w:rsidRPr="00C305F0">
        <w:rPr>
          <w:rFonts w:ascii="Times New Roman" w:hAnsi="Times New Roman" w:cs="Times New Roman"/>
          <w:color w:val="000000" w:themeColor="text1"/>
          <w:sz w:val="24"/>
          <w:szCs w:val="24"/>
        </w:rPr>
        <w:t xml:space="preserve">that important switch to investing for income and are retired or within 10 years of retirement age, </w:t>
      </w:r>
      <w:r>
        <w:rPr>
          <w:rFonts w:ascii="Times New Roman" w:hAnsi="Times New Roman" w:cs="Times New Roman"/>
          <w:color w:val="000000" w:themeColor="text1"/>
          <w:sz w:val="24"/>
          <w:szCs w:val="24"/>
        </w:rPr>
        <w:t xml:space="preserve">please make sure to schedule a complimentary call with me so I can help you make this important shift in time. </w:t>
      </w:r>
    </w:p>
    <w:p w14:paraId="0746CFA2" w14:textId="3DF0342D" w:rsidR="00414483" w:rsidRPr="00654664" w:rsidRDefault="002A1C75" w:rsidP="00381D38">
      <w:pPr>
        <w:ind w:right="630"/>
        <w:rPr>
          <w:rFonts w:ascii="Times New Roman" w:eastAsia="Times New Roman" w:hAnsi="Times New Roman" w:cs="Times New Roman"/>
          <w:b/>
          <w:bCs/>
          <w:sz w:val="24"/>
          <w:szCs w:val="24"/>
        </w:rPr>
      </w:pPr>
      <w:r>
        <w:rPr>
          <w:rFonts w:ascii="Times New Roman" w:hAnsi="Times New Roman" w:cs="Times New Roman"/>
          <w:b/>
          <w:bCs/>
          <w:color w:val="002060"/>
          <w:sz w:val="32"/>
          <w:szCs w:val="32"/>
        </w:rPr>
        <w:br/>
      </w:r>
      <w:r w:rsidRPr="008B3B95">
        <w:rPr>
          <w:rFonts w:ascii="Times New Roman" w:hAnsi="Times New Roman" w:cs="Times New Roman"/>
          <w:b/>
          <w:bCs/>
          <w:color w:val="0070C0"/>
          <w:sz w:val="32"/>
          <w:szCs w:val="32"/>
        </w:rPr>
        <w:t>Tax Saving Strategies</w:t>
      </w:r>
      <w:r w:rsidRPr="008B3B95">
        <w:rPr>
          <w:rFonts w:ascii="Times New Roman" w:hAnsi="Times New Roman" w:cs="Times New Roman"/>
          <w:color w:val="0070C0"/>
          <w:sz w:val="32"/>
          <w:szCs w:val="32"/>
        </w:rPr>
        <w:t xml:space="preserve"> </w:t>
      </w:r>
      <w:r w:rsidR="00687CF0" w:rsidRPr="008B3B95">
        <w:rPr>
          <w:rFonts w:ascii="Times New Roman" w:hAnsi="Times New Roman" w:cs="Times New Roman"/>
          <w:color w:val="0070C0"/>
          <w:sz w:val="32"/>
          <w:szCs w:val="32"/>
        </w:rPr>
        <w:t>Under The New Administration</w:t>
      </w:r>
      <w:r w:rsidR="002E1B84">
        <w:rPr>
          <w:rFonts w:ascii="Times New Roman" w:hAnsi="Times New Roman" w:cs="Times New Roman"/>
          <w:color w:val="0070C0"/>
          <w:sz w:val="32"/>
          <w:szCs w:val="32"/>
        </w:rPr>
        <w:br/>
      </w:r>
      <w:r w:rsidR="002E1B84" w:rsidRPr="002E1B84">
        <w:rPr>
          <w:rFonts w:ascii="Times New Roman" w:hAnsi="Times New Roman" w:cs="Times New Roman"/>
          <w:color w:val="C00000"/>
          <w:sz w:val="32"/>
          <w:szCs w:val="32"/>
        </w:rPr>
        <w:t>&lt;taken from Tig Show script; “Tax Savings Strategies”&gt;</w:t>
      </w:r>
      <w:r w:rsidR="00414483">
        <w:rPr>
          <w:rFonts w:ascii="Times New Roman" w:hAnsi="Times New Roman" w:cs="Times New Roman"/>
          <w:color w:val="002060"/>
          <w:sz w:val="32"/>
          <w:szCs w:val="32"/>
        </w:rPr>
        <w:br/>
      </w:r>
      <w:r w:rsidR="00D21245">
        <w:rPr>
          <w:rFonts w:eastAsia="Times New Roman" w:cstheme="minorHAnsi"/>
        </w:rPr>
        <w:br/>
      </w:r>
      <w:r w:rsidR="00414483" w:rsidRPr="00654664">
        <w:rPr>
          <w:rFonts w:ascii="Times New Roman" w:eastAsia="Times New Roman" w:hAnsi="Times New Roman" w:cs="Times New Roman"/>
          <w:sz w:val="24"/>
          <w:szCs w:val="24"/>
        </w:rPr>
        <w:t xml:space="preserve">I know your 2020 tax bill may be the last thing on your mind right now, but if you want to take steps to minimize it as much as possible, you still have a few weeks left to take action. </w:t>
      </w:r>
      <w:r w:rsidR="00023BCD" w:rsidRPr="00654664">
        <w:rPr>
          <w:rFonts w:ascii="Times New Roman" w:eastAsia="Times New Roman" w:hAnsi="Times New Roman" w:cs="Times New Roman"/>
          <w:sz w:val="24"/>
          <w:szCs w:val="24"/>
        </w:rPr>
        <w:t xml:space="preserve"> </w:t>
      </w:r>
      <w:r w:rsidR="00D21245" w:rsidRPr="00654664">
        <w:rPr>
          <w:rFonts w:ascii="Times New Roman" w:hAnsi="Times New Roman" w:cs="Times New Roman"/>
          <w:color w:val="000000"/>
          <w:sz w:val="24"/>
          <w:szCs w:val="24"/>
        </w:rPr>
        <w:t>I</w:t>
      </w:r>
      <w:r w:rsidR="00414483" w:rsidRPr="00654664">
        <w:rPr>
          <w:rFonts w:ascii="Times New Roman" w:hAnsi="Times New Roman" w:cs="Times New Roman"/>
          <w:color w:val="000000"/>
          <w:sz w:val="24"/>
          <w:szCs w:val="24"/>
        </w:rPr>
        <w:t>t’s no secret that president</w:t>
      </w:r>
      <w:r w:rsidR="00D81166" w:rsidRPr="00654664">
        <w:rPr>
          <w:rFonts w:ascii="Times New Roman" w:hAnsi="Times New Roman" w:cs="Times New Roman"/>
          <w:color w:val="000000"/>
          <w:sz w:val="24"/>
          <w:szCs w:val="24"/>
        </w:rPr>
        <w:t xml:space="preserve"> elect, </w:t>
      </w:r>
      <w:r w:rsidR="00414483" w:rsidRPr="00654664">
        <w:rPr>
          <w:rFonts w:ascii="Times New Roman" w:hAnsi="Times New Roman" w:cs="Times New Roman"/>
          <w:color w:val="000000"/>
          <w:sz w:val="24"/>
          <w:szCs w:val="24"/>
        </w:rPr>
        <w:t>Joe Biden has an extensive list of tax proposals. These include raising taxes on households earning more than $400,000 dollars and lowering the amount you can pass on to your heirs tax-free.</w:t>
      </w:r>
      <w:r w:rsidR="00D21245" w:rsidRPr="00654664">
        <w:rPr>
          <w:rFonts w:ascii="Times New Roman" w:hAnsi="Times New Roman" w:cs="Times New Roman"/>
          <w:color w:val="000000"/>
          <w:sz w:val="24"/>
          <w:szCs w:val="24"/>
        </w:rPr>
        <w:br/>
      </w:r>
      <w:r w:rsidR="00414483" w:rsidRPr="00654664">
        <w:rPr>
          <w:rFonts w:ascii="Times New Roman" w:hAnsi="Times New Roman" w:cs="Times New Roman"/>
          <w:color w:val="000000"/>
          <w:sz w:val="24"/>
          <w:szCs w:val="24"/>
        </w:rPr>
        <w:br/>
      </w:r>
      <w:r w:rsidR="00D21245" w:rsidRPr="00654664">
        <w:rPr>
          <w:rFonts w:ascii="Times New Roman" w:hAnsi="Times New Roman" w:cs="Times New Roman"/>
          <w:color w:val="000000"/>
          <w:sz w:val="24"/>
          <w:szCs w:val="24"/>
        </w:rPr>
        <w:t xml:space="preserve">Today </w:t>
      </w:r>
      <w:r w:rsidR="00414483" w:rsidRPr="00654664">
        <w:rPr>
          <w:rFonts w:ascii="Times New Roman" w:hAnsi="Times New Roman" w:cs="Times New Roman"/>
          <w:color w:val="000000"/>
          <w:sz w:val="24"/>
          <w:szCs w:val="24"/>
        </w:rPr>
        <w:t xml:space="preserve">we’ll share some tips from tax experts on things you may still be able to do to minimize your tax bill for </w:t>
      </w:r>
      <w:r w:rsidR="00414483" w:rsidRPr="00654664">
        <w:rPr>
          <w:rFonts w:ascii="Times New Roman" w:hAnsi="Times New Roman" w:cs="Times New Roman"/>
          <w:color w:val="000000"/>
          <w:sz w:val="24"/>
          <w:szCs w:val="24"/>
          <w:u w:val="single"/>
        </w:rPr>
        <w:t>this</w:t>
      </w:r>
      <w:r w:rsidR="00414483" w:rsidRPr="00654664">
        <w:rPr>
          <w:rFonts w:ascii="Times New Roman" w:hAnsi="Times New Roman" w:cs="Times New Roman"/>
          <w:color w:val="000000"/>
          <w:sz w:val="24"/>
          <w:szCs w:val="24"/>
        </w:rPr>
        <w:t xml:space="preserve"> year. Some of these options may no longer be available after 2020, so you’ll want to take advantage. We’ll also review some evergreen tax strategies available to retirees and near-retirees</w:t>
      </w:r>
      <w:r w:rsidR="00023BCD" w:rsidRPr="00654664">
        <w:rPr>
          <w:rFonts w:ascii="Times New Roman" w:hAnsi="Times New Roman" w:cs="Times New Roman"/>
          <w:color w:val="000000"/>
          <w:sz w:val="24"/>
          <w:szCs w:val="24"/>
        </w:rPr>
        <w:t>.</w:t>
      </w:r>
      <w:r w:rsidR="00023BCD" w:rsidRPr="00654664">
        <w:rPr>
          <w:rFonts w:ascii="Times New Roman" w:hAnsi="Times New Roman" w:cs="Times New Roman"/>
          <w:color w:val="000000"/>
          <w:sz w:val="24"/>
          <w:szCs w:val="24"/>
        </w:rPr>
        <w:br/>
      </w:r>
      <w:r w:rsidR="00414483" w:rsidRPr="00654664">
        <w:rPr>
          <w:rFonts w:ascii="Times New Roman" w:hAnsi="Times New Roman" w:cs="Times New Roman"/>
          <w:color w:val="000000"/>
          <w:sz w:val="24"/>
          <w:szCs w:val="24"/>
        </w:rPr>
        <w:br/>
      </w:r>
      <w:r w:rsidR="00023BCD" w:rsidRPr="00654664">
        <w:rPr>
          <w:rFonts w:ascii="Times New Roman" w:hAnsi="Times New Roman" w:cs="Times New Roman"/>
          <w:color w:val="000000"/>
          <w:sz w:val="24"/>
          <w:szCs w:val="24"/>
        </w:rPr>
        <w:t xml:space="preserve">First, </w:t>
      </w:r>
      <w:r w:rsidR="00414483" w:rsidRPr="00654664">
        <w:rPr>
          <w:rFonts w:ascii="Times New Roman" w:hAnsi="Times New Roman" w:cs="Times New Roman"/>
          <w:color w:val="000000"/>
          <w:sz w:val="24"/>
          <w:szCs w:val="24"/>
        </w:rPr>
        <w:t xml:space="preserve">let’s go over a few of the tax strategies you may still have time to take advantage of as the year winds down. </w:t>
      </w:r>
    </w:p>
    <w:p w14:paraId="3B056A9C" w14:textId="50840A0C" w:rsidR="00414483" w:rsidRPr="00FE2B00" w:rsidRDefault="00414483" w:rsidP="00381D38">
      <w:pPr>
        <w:pStyle w:val="Heading2"/>
        <w:shd w:val="clear" w:color="auto" w:fill="FFFFFF"/>
        <w:spacing w:after="150"/>
        <w:ind w:right="630"/>
        <w:rPr>
          <w:rFonts w:ascii="Times New Roman" w:hAnsi="Times New Roman" w:cs="Times New Roman"/>
          <w:color w:val="auto"/>
          <w:sz w:val="24"/>
          <w:szCs w:val="24"/>
        </w:rPr>
      </w:pPr>
      <w:r w:rsidRPr="00FE2B00">
        <w:rPr>
          <w:rFonts w:ascii="Times New Roman" w:hAnsi="Times New Roman" w:cs="Times New Roman"/>
          <w:color w:val="auto"/>
          <w:sz w:val="24"/>
          <w:szCs w:val="24"/>
        </w:rPr>
        <w:t>We all know the holiday season goes by quickly and is filled with obligations.</w:t>
      </w:r>
      <w:r w:rsidR="00A809F3" w:rsidRPr="00FE2B00">
        <w:rPr>
          <w:rFonts w:ascii="Times New Roman" w:hAnsi="Times New Roman" w:cs="Times New Roman"/>
          <w:color w:val="auto"/>
          <w:sz w:val="24"/>
          <w:szCs w:val="24"/>
        </w:rPr>
        <w:t xml:space="preserve"> </w:t>
      </w:r>
      <w:r w:rsidRPr="00FE2B00">
        <w:rPr>
          <w:rFonts w:ascii="Times New Roman" w:hAnsi="Times New Roman" w:cs="Times New Roman"/>
          <w:color w:val="auto"/>
          <w:sz w:val="24"/>
          <w:szCs w:val="24"/>
        </w:rPr>
        <w:t>But taking time to review and revise your financial plan at this time can pay big dividends in the new year</w:t>
      </w:r>
      <w:r w:rsidR="00023BCD" w:rsidRPr="00FE2B00">
        <w:rPr>
          <w:rFonts w:ascii="Times New Roman" w:hAnsi="Times New Roman" w:cs="Times New Roman"/>
          <w:color w:val="auto"/>
          <w:sz w:val="24"/>
          <w:szCs w:val="24"/>
        </w:rPr>
        <w:t>, and m</w:t>
      </w:r>
      <w:r w:rsidRPr="00FE2B00">
        <w:rPr>
          <w:rFonts w:ascii="Times New Roman" w:hAnsi="Times New Roman" w:cs="Times New Roman"/>
          <w:color w:val="auto"/>
          <w:sz w:val="24"/>
          <w:szCs w:val="24"/>
        </w:rPr>
        <w:t xml:space="preserve">anaging your taxes is obviously an important part of that process. And there are still things you can potentially do even this late in the year to give you an advantage. Here are a few examples. </w:t>
      </w:r>
    </w:p>
    <w:p w14:paraId="602DEAA5" w14:textId="413F964A" w:rsidR="00414483" w:rsidRPr="00FE2B00" w:rsidRDefault="00414483" w:rsidP="00381D38">
      <w:pPr>
        <w:ind w:right="630"/>
        <w:rPr>
          <w:rFonts w:ascii="Times New Roman" w:hAnsi="Times New Roman" w:cs="Times New Roman"/>
          <w:sz w:val="24"/>
          <w:szCs w:val="24"/>
        </w:rPr>
      </w:pPr>
      <w:r w:rsidRPr="00FE2B00">
        <w:rPr>
          <w:rFonts w:ascii="Times New Roman" w:hAnsi="Times New Roman" w:cs="Times New Roman"/>
          <w:sz w:val="24"/>
          <w:szCs w:val="24"/>
        </w:rPr>
        <w:t>First, add up your healthcare expenses for the year.</w:t>
      </w:r>
      <w:r w:rsidR="00D21245" w:rsidRPr="00FE2B00">
        <w:rPr>
          <w:rFonts w:ascii="Times New Roman" w:hAnsi="Times New Roman" w:cs="Times New Roman"/>
          <w:sz w:val="24"/>
          <w:szCs w:val="24"/>
        </w:rPr>
        <w:t xml:space="preserve"> </w:t>
      </w:r>
      <w:r w:rsidRPr="00FE2B00">
        <w:rPr>
          <w:rFonts w:ascii="Times New Roman" w:hAnsi="Times New Roman" w:cs="Times New Roman"/>
          <w:sz w:val="24"/>
          <w:szCs w:val="24"/>
        </w:rPr>
        <w:t xml:space="preserve">Although healthcare costs are only deductible after they exceed 7.5 percent of your adjusted gross income, in </w:t>
      </w:r>
      <w:r w:rsidR="006A57FA">
        <w:rPr>
          <w:rFonts w:ascii="Times New Roman" w:hAnsi="Times New Roman" w:cs="Times New Roman"/>
          <w:sz w:val="24"/>
          <w:szCs w:val="24"/>
        </w:rPr>
        <w:t>today’s</w:t>
      </w:r>
      <w:r w:rsidRPr="00FE2B00">
        <w:rPr>
          <w:rFonts w:ascii="Times New Roman" w:hAnsi="Times New Roman" w:cs="Times New Roman"/>
          <w:sz w:val="24"/>
          <w:szCs w:val="24"/>
        </w:rPr>
        <w:t xml:space="preserve"> age </w:t>
      </w:r>
      <w:r w:rsidR="006A57FA">
        <w:rPr>
          <w:rFonts w:ascii="Times New Roman" w:hAnsi="Times New Roman" w:cs="Times New Roman"/>
          <w:sz w:val="24"/>
          <w:szCs w:val="24"/>
        </w:rPr>
        <w:t xml:space="preserve">of </w:t>
      </w:r>
      <w:r w:rsidRPr="00FE2B00">
        <w:rPr>
          <w:rFonts w:ascii="Times New Roman" w:hAnsi="Times New Roman" w:cs="Times New Roman"/>
          <w:sz w:val="24"/>
          <w:szCs w:val="24"/>
        </w:rPr>
        <w:t xml:space="preserve">expensive medicine and high deductibles, you might be surprised by how much </w:t>
      </w:r>
      <w:proofErr w:type="gramStart"/>
      <w:r w:rsidRPr="00FE2B00">
        <w:rPr>
          <w:rFonts w:ascii="Times New Roman" w:hAnsi="Times New Roman" w:cs="Times New Roman"/>
          <w:sz w:val="24"/>
          <w:szCs w:val="24"/>
        </w:rPr>
        <w:t>you’ve</w:t>
      </w:r>
      <w:proofErr w:type="gramEnd"/>
      <w:r w:rsidRPr="00FE2B00">
        <w:rPr>
          <w:rFonts w:ascii="Times New Roman" w:hAnsi="Times New Roman" w:cs="Times New Roman"/>
          <w:sz w:val="24"/>
          <w:szCs w:val="24"/>
        </w:rPr>
        <w:t xml:space="preserve"> actually spent.</w:t>
      </w:r>
      <w:r w:rsidR="00D21245" w:rsidRPr="00FE2B00">
        <w:rPr>
          <w:rFonts w:ascii="Times New Roman" w:hAnsi="Times New Roman" w:cs="Times New Roman"/>
          <w:sz w:val="24"/>
          <w:szCs w:val="24"/>
        </w:rPr>
        <w:br/>
      </w:r>
    </w:p>
    <w:p w14:paraId="4B4428A4" w14:textId="013B0265" w:rsidR="00414483" w:rsidRPr="00654664" w:rsidRDefault="00414483" w:rsidP="00381D38">
      <w:pPr>
        <w:ind w:right="630"/>
        <w:rPr>
          <w:rFonts w:ascii="Times New Roman" w:hAnsi="Times New Roman" w:cs="Times New Roman"/>
          <w:sz w:val="24"/>
          <w:szCs w:val="24"/>
        </w:rPr>
      </w:pPr>
      <w:r w:rsidRPr="00654664">
        <w:rPr>
          <w:rFonts w:ascii="Times New Roman" w:hAnsi="Times New Roman" w:cs="Times New Roman"/>
          <w:sz w:val="24"/>
          <w:szCs w:val="24"/>
        </w:rPr>
        <w:t xml:space="preserve">If you earn $100,000 dollars in 2020, that means any healthcare spending </w:t>
      </w:r>
      <w:proofErr w:type="gramStart"/>
      <w:r w:rsidRPr="00654664">
        <w:rPr>
          <w:rFonts w:ascii="Times New Roman" w:hAnsi="Times New Roman" w:cs="Times New Roman"/>
          <w:sz w:val="24"/>
          <w:szCs w:val="24"/>
        </w:rPr>
        <w:t>in excess of</w:t>
      </w:r>
      <w:proofErr w:type="gramEnd"/>
      <w:r w:rsidRPr="00654664">
        <w:rPr>
          <w:rFonts w:ascii="Times New Roman" w:hAnsi="Times New Roman" w:cs="Times New Roman"/>
          <w:sz w:val="24"/>
          <w:szCs w:val="24"/>
        </w:rPr>
        <w:t xml:space="preserve"> $7,500 can be deducted. </w:t>
      </w:r>
      <w:r w:rsidR="00D21245" w:rsidRPr="00654664">
        <w:rPr>
          <w:rFonts w:ascii="Times New Roman" w:hAnsi="Times New Roman" w:cs="Times New Roman"/>
          <w:sz w:val="24"/>
          <w:szCs w:val="24"/>
        </w:rPr>
        <w:t xml:space="preserve"> </w:t>
      </w:r>
      <w:r w:rsidRPr="00654664">
        <w:rPr>
          <w:rFonts w:ascii="Times New Roman" w:hAnsi="Times New Roman" w:cs="Times New Roman"/>
          <w:sz w:val="24"/>
          <w:szCs w:val="24"/>
        </w:rPr>
        <w:t xml:space="preserve">And this includes spending on things like dental care, prescription glasses and even mileage to and from your medical appointments. </w:t>
      </w:r>
      <w:r w:rsidR="00D21245" w:rsidRPr="00654664">
        <w:rPr>
          <w:rFonts w:ascii="Times New Roman" w:hAnsi="Times New Roman" w:cs="Times New Roman"/>
          <w:sz w:val="24"/>
          <w:szCs w:val="24"/>
        </w:rPr>
        <w:br/>
      </w:r>
    </w:p>
    <w:p w14:paraId="3C8366CB" w14:textId="3CD77320" w:rsidR="00414483" w:rsidRPr="00654664" w:rsidRDefault="00414483" w:rsidP="00381D38">
      <w:pPr>
        <w:ind w:right="630"/>
        <w:rPr>
          <w:rFonts w:ascii="Times New Roman" w:hAnsi="Times New Roman" w:cs="Times New Roman"/>
          <w:sz w:val="24"/>
          <w:szCs w:val="24"/>
        </w:rPr>
      </w:pPr>
      <w:r w:rsidRPr="00654664">
        <w:rPr>
          <w:rFonts w:ascii="Times New Roman" w:hAnsi="Times New Roman" w:cs="Times New Roman"/>
          <w:sz w:val="24"/>
          <w:szCs w:val="24"/>
        </w:rPr>
        <w:t xml:space="preserve">Next, give generously and wisely this holiday season. The CARES Act passed by congress in response to the coronavirus this year created two new tax incentives to encourage donations. The first is a $300 dollar write-off that donors can claim for giving cash to a charity. You can claim it even if you take the standard deduction when you file your taxes, </w:t>
      </w:r>
      <w:r w:rsidRPr="00654664">
        <w:rPr>
          <w:rFonts w:ascii="Times New Roman" w:hAnsi="Times New Roman" w:cs="Times New Roman"/>
          <w:sz w:val="24"/>
          <w:szCs w:val="24"/>
        </w:rPr>
        <w:lastRenderedPageBreak/>
        <w:t xml:space="preserve">as opposed to itemizing your deductions. The second incentive is aimed at donors who </w:t>
      </w:r>
      <w:r w:rsidRPr="00654664">
        <w:rPr>
          <w:rFonts w:ascii="Times New Roman" w:hAnsi="Times New Roman" w:cs="Times New Roman"/>
          <w:sz w:val="24"/>
          <w:szCs w:val="24"/>
          <w:u w:val="single"/>
        </w:rPr>
        <w:t>do</w:t>
      </w:r>
      <w:r w:rsidRPr="00654664">
        <w:rPr>
          <w:rFonts w:ascii="Times New Roman" w:hAnsi="Times New Roman" w:cs="Times New Roman"/>
          <w:sz w:val="24"/>
          <w:szCs w:val="24"/>
        </w:rPr>
        <w:t xml:space="preserve"> itemize when they file and is in effect only for 2020. </w:t>
      </w:r>
    </w:p>
    <w:p w14:paraId="4147BB2B" w14:textId="3BA696EF" w:rsidR="00D21245" w:rsidRPr="0012482E" w:rsidRDefault="00A809F3" w:rsidP="00381D38">
      <w:pPr>
        <w:ind w:right="630"/>
        <w:rPr>
          <w:rFonts w:ascii="Times New Roman" w:eastAsia="Times New Roman" w:hAnsi="Times New Roman" w:cs="Times New Roman"/>
          <w:sz w:val="24"/>
          <w:szCs w:val="24"/>
        </w:rPr>
      </w:pPr>
      <w:r w:rsidRPr="00654664">
        <w:rPr>
          <w:rFonts w:ascii="Times New Roman" w:hAnsi="Times New Roman" w:cs="Times New Roman"/>
          <w:sz w:val="24"/>
          <w:szCs w:val="24"/>
        </w:rPr>
        <w:br/>
      </w:r>
      <w:r w:rsidR="00414483" w:rsidRPr="00654664">
        <w:rPr>
          <w:rFonts w:ascii="Times New Roman" w:hAnsi="Times New Roman" w:cs="Times New Roman"/>
          <w:sz w:val="24"/>
          <w:szCs w:val="24"/>
        </w:rPr>
        <w:t xml:space="preserve">It allows you to </w:t>
      </w:r>
      <w:r w:rsidR="00414483" w:rsidRPr="00654664">
        <w:rPr>
          <w:rFonts w:ascii="Times New Roman" w:eastAsia="Times New Roman" w:hAnsi="Times New Roman" w:cs="Times New Roman"/>
          <w:sz w:val="24"/>
          <w:szCs w:val="24"/>
        </w:rPr>
        <w:t>deduct up to 100 percent of your adjusted gross income for cash donations to public charities, as opposed to the previous limit of 60 percent.</w:t>
      </w:r>
      <w:r w:rsidR="0091617F" w:rsidRPr="00654664">
        <w:rPr>
          <w:rFonts w:ascii="Times New Roman" w:eastAsia="Times New Roman" w:hAnsi="Times New Roman" w:cs="Times New Roman"/>
          <w:sz w:val="24"/>
          <w:szCs w:val="24"/>
        </w:rPr>
        <w:t xml:space="preserve"> </w:t>
      </w:r>
      <w:r w:rsidR="00414483" w:rsidRPr="00654664">
        <w:rPr>
          <w:rFonts w:ascii="Times New Roman" w:eastAsia="Times New Roman" w:hAnsi="Times New Roman" w:cs="Times New Roman"/>
          <w:sz w:val="24"/>
          <w:szCs w:val="24"/>
        </w:rPr>
        <w:t xml:space="preserve">Of course, there are limits and provisions to these rules. </w:t>
      </w:r>
      <w:r w:rsidR="0091617F" w:rsidRPr="00654664">
        <w:rPr>
          <w:rFonts w:ascii="Times New Roman" w:eastAsia="Times New Roman" w:hAnsi="Times New Roman" w:cs="Times New Roman"/>
          <w:sz w:val="24"/>
          <w:szCs w:val="24"/>
        </w:rPr>
        <w:br/>
      </w:r>
      <w:r w:rsidR="0091617F" w:rsidRPr="00654664">
        <w:rPr>
          <w:rFonts w:ascii="Times New Roman" w:eastAsia="Times New Roman" w:hAnsi="Times New Roman" w:cs="Times New Roman"/>
          <w:sz w:val="24"/>
          <w:szCs w:val="24"/>
        </w:rPr>
        <w:br/>
      </w:r>
      <w:r w:rsidR="0068227A">
        <w:rPr>
          <w:rFonts w:ascii="Times New Roman" w:hAnsi="Times New Roman" w:cs="Times New Roman"/>
          <w:b/>
          <w:bCs/>
          <w:i/>
          <w:iCs/>
          <w:sz w:val="24"/>
          <w:szCs w:val="24"/>
        </w:rPr>
        <w:t xml:space="preserve">Estate Planning </w:t>
      </w:r>
      <w:r w:rsidR="0091617F" w:rsidRPr="00654664">
        <w:rPr>
          <w:rFonts w:ascii="Times New Roman" w:hAnsi="Times New Roman" w:cs="Times New Roman"/>
          <w:b/>
          <w:bCs/>
          <w:i/>
          <w:iCs/>
          <w:sz w:val="24"/>
          <w:szCs w:val="24"/>
        </w:rPr>
        <w:t>Opportunities Created by Low Interest Rates</w:t>
      </w:r>
      <w:r w:rsidR="0091617F" w:rsidRPr="00654664">
        <w:rPr>
          <w:rFonts w:ascii="Times New Roman" w:hAnsi="Times New Roman" w:cs="Times New Roman"/>
          <w:sz w:val="24"/>
          <w:szCs w:val="24"/>
        </w:rPr>
        <w:br/>
      </w:r>
      <w:r w:rsidR="0091617F" w:rsidRPr="00654664">
        <w:rPr>
          <w:rFonts w:ascii="Times New Roman" w:hAnsi="Times New Roman" w:cs="Times New Roman"/>
          <w:sz w:val="24"/>
          <w:szCs w:val="24"/>
        </w:rPr>
        <w:br/>
      </w:r>
      <w:r w:rsidR="00D21245" w:rsidRPr="0012482E">
        <w:rPr>
          <w:rFonts w:ascii="Times New Roman" w:hAnsi="Times New Roman" w:cs="Times New Roman"/>
          <w:sz w:val="24"/>
          <w:szCs w:val="24"/>
        </w:rPr>
        <w:t xml:space="preserve">You don’t need me to tell you that interest rates are historically low in the wake of the coronavirus crisis. </w:t>
      </w:r>
      <w:r w:rsidR="00D21245" w:rsidRPr="0012482E">
        <w:rPr>
          <w:rFonts w:ascii="Times New Roman" w:eastAsia="Times New Roman" w:hAnsi="Times New Roman" w:cs="Times New Roman"/>
          <w:sz w:val="24"/>
          <w:szCs w:val="24"/>
        </w:rPr>
        <w:t>This impacts your financial strategy in many ways, of course. But in terms of tax planning, these low rates combined with current lifetime gift and estate tax exemptions may create a powerful estate-planning tool for certain people.</w:t>
      </w:r>
      <w:r w:rsidR="00D81166" w:rsidRPr="0012482E">
        <w:rPr>
          <w:rFonts w:ascii="Times New Roman" w:eastAsia="Times New Roman" w:hAnsi="Times New Roman" w:cs="Times New Roman"/>
          <w:sz w:val="24"/>
          <w:szCs w:val="24"/>
        </w:rPr>
        <w:t xml:space="preserve"> </w:t>
      </w:r>
      <w:r w:rsidR="006A57FA">
        <w:rPr>
          <w:rFonts w:ascii="Times New Roman" w:eastAsia="Times New Roman" w:hAnsi="Times New Roman" w:cs="Times New Roman"/>
          <w:sz w:val="24"/>
          <w:szCs w:val="24"/>
        </w:rPr>
        <w:br/>
      </w:r>
      <w:r w:rsidR="006A57FA">
        <w:rPr>
          <w:rFonts w:ascii="Times New Roman" w:eastAsia="Times New Roman" w:hAnsi="Times New Roman" w:cs="Times New Roman"/>
          <w:sz w:val="24"/>
          <w:szCs w:val="24"/>
        </w:rPr>
        <w:br/>
      </w:r>
      <w:r w:rsidR="00D21245" w:rsidRPr="0012482E">
        <w:rPr>
          <w:rFonts w:ascii="Times New Roman" w:eastAsia="Times New Roman" w:hAnsi="Times New Roman" w:cs="Times New Roman"/>
          <w:sz w:val="24"/>
          <w:szCs w:val="24"/>
        </w:rPr>
        <w:t xml:space="preserve">Understand that many estate and gift tax strategies depend on the ability of assets to appreciate faster than the interest rates prescribed by the IRS. </w:t>
      </w:r>
      <w:r w:rsidR="00DC2911">
        <w:rPr>
          <w:rFonts w:ascii="Times New Roman" w:eastAsia="Times New Roman" w:hAnsi="Times New Roman" w:cs="Times New Roman"/>
          <w:sz w:val="24"/>
          <w:szCs w:val="24"/>
        </w:rPr>
        <w:t xml:space="preserve">Also, </w:t>
      </w:r>
      <w:r w:rsidR="00D21245" w:rsidRPr="0012482E">
        <w:rPr>
          <w:rFonts w:ascii="Times New Roman" w:eastAsia="Times New Roman" w:hAnsi="Times New Roman" w:cs="Times New Roman"/>
          <w:sz w:val="24"/>
          <w:szCs w:val="24"/>
        </w:rPr>
        <w:t xml:space="preserve">consider that the economic fallout of the pandemic is still depressing many asset values. </w:t>
      </w:r>
      <w:r w:rsidR="006A57FA">
        <w:rPr>
          <w:rFonts w:ascii="Times New Roman" w:eastAsia="Times New Roman" w:hAnsi="Times New Roman" w:cs="Times New Roman"/>
          <w:sz w:val="24"/>
          <w:szCs w:val="24"/>
        </w:rPr>
        <w:br/>
      </w:r>
      <w:r w:rsidR="006A57FA">
        <w:rPr>
          <w:rFonts w:ascii="Times New Roman" w:eastAsia="Times New Roman" w:hAnsi="Times New Roman" w:cs="Times New Roman"/>
          <w:sz w:val="24"/>
          <w:szCs w:val="24"/>
        </w:rPr>
        <w:br/>
      </w:r>
      <w:r w:rsidR="00D21245" w:rsidRPr="0012482E">
        <w:rPr>
          <w:rFonts w:ascii="Times New Roman" w:eastAsia="Times New Roman" w:hAnsi="Times New Roman" w:cs="Times New Roman"/>
          <w:sz w:val="24"/>
          <w:szCs w:val="24"/>
        </w:rPr>
        <w:t xml:space="preserve">Together these factors create a small window of opportunity to use estate-planning techniques while interest rates are still </w:t>
      </w:r>
      <w:proofErr w:type="gramStart"/>
      <w:r w:rsidR="00D21245" w:rsidRPr="0012482E">
        <w:rPr>
          <w:rFonts w:ascii="Times New Roman" w:eastAsia="Times New Roman" w:hAnsi="Times New Roman" w:cs="Times New Roman"/>
          <w:sz w:val="24"/>
          <w:szCs w:val="24"/>
        </w:rPr>
        <w:t>low</w:t>
      </w:r>
      <w:proofErr w:type="gramEnd"/>
      <w:r w:rsidR="00D21245" w:rsidRPr="0012482E">
        <w:rPr>
          <w:rFonts w:ascii="Times New Roman" w:eastAsia="Times New Roman" w:hAnsi="Times New Roman" w:cs="Times New Roman"/>
          <w:sz w:val="24"/>
          <w:szCs w:val="24"/>
        </w:rPr>
        <w:t xml:space="preserve"> and the lifetime gift exemption is at an all-time high. But this window will close, and possibly sooner than later. </w:t>
      </w:r>
    </w:p>
    <w:p w14:paraId="77E436DC" w14:textId="3FE17618" w:rsidR="00D21245" w:rsidRPr="00654664" w:rsidRDefault="00D21245" w:rsidP="00381D38">
      <w:pPr>
        <w:ind w:right="630"/>
        <w:rPr>
          <w:rFonts w:ascii="Times New Roman" w:eastAsia="Times New Roman" w:hAnsi="Times New Roman" w:cs="Times New Roman"/>
          <w:b/>
          <w:bCs/>
          <w:sz w:val="24"/>
          <w:szCs w:val="24"/>
        </w:rPr>
      </w:pPr>
    </w:p>
    <w:p w14:paraId="0D51F51B" w14:textId="347EE725" w:rsidR="00D21245" w:rsidRPr="00654664" w:rsidRDefault="00D21245" w:rsidP="00381D38">
      <w:pPr>
        <w:ind w:right="630"/>
        <w:rPr>
          <w:rFonts w:ascii="Times New Roman" w:eastAsia="Times New Roman" w:hAnsi="Times New Roman" w:cs="Times New Roman"/>
          <w:sz w:val="24"/>
          <w:szCs w:val="24"/>
        </w:rPr>
      </w:pPr>
      <w:r w:rsidRPr="00654664">
        <w:rPr>
          <w:rFonts w:ascii="Times New Roman" w:eastAsia="Times New Roman" w:hAnsi="Times New Roman" w:cs="Times New Roman"/>
          <w:sz w:val="24"/>
          <w:szCs w:val="24"/>
        </w:rPr>
        <w:t>The current gift and estate tax exemptions are set to expire in just a few years, and a new administration in the White House could accelerate that timeline.</w:t>
      </w:r>
      <w:r w:rsidR="00D81166" w:rsidRPr="00654664">
        <w:rPr>
          <w:rFonts w:ascii="Times New Roman" w:eastAsia="Times New Roman" w:hAnsi="Times New Roman" w:cs="Times New Roman"/>
          <w:sz w:val="24"/>
          <w:szCs w:val="24"/>
        </w:rPr>
        <w:t xml:space="preserve"> </w:t>
      </w:r>
      <w:r w:rsidRPr="00654664">
        <w:rPr>
          <w:rFonts w:ascii="Times New Roman" w:eastAsia="Times New Roman" w:hAnsi="Times New Roman" w:cs="Times New Roman"/>
          <w:sz w:val="24"/>
          <w:szCs w:val="24"/>
        </w:rPr>
        <w:t xml:space="preserve">Again, an advisor who specializes in retirement income can help you review this and other strategies more thoroughly. For example, you might also </w:t>
      </w:r>
      <w:proofErr w:type="gramStart"/>
      <w:r w:rsidRPr="00654664">
        <w:rPr>
          <w:rFonts w:ascii="Times New Roman" w:eastAsia="Times New Roman" w:hAnsi="Times New Roman" w:cs="Times New Roman"/>
          <w:sz w:val="24"/>
          <w:szCs w:val="24"/>
        </w:rPr>
        <w:t>have the opportunity to</w:t>
      </w:r>
      <w:proofErr w:type="gramEnd"/>
      <w:r w:rsidRPr="00654664">
        <w:rPr>
          <w:rFonts w:ascii="Times New Roman" w:eastAsia="Times New Roman" w:hAnsi="Times New Roman" w:cs="Times New Roman"/>
          <w:sz w:val="24"/>
          <w:szCs w:val="24"/>
        </w:rPr>
        <w:t xml:space="preserve"> avoid potential tax penalties by increasing your withholding before the end of the year. </w:t>
      </w:r>
    </w:p>
    <w:p w14:paraId="1C34D125" w14:textId="051D474B" w:rsidR="00D21245" w:rsidRPr="00654664" w:rsidRDefault="00D21245" w:rsidP="00381D38">
      <w:pPr>
        <w:ind w:right="630"/>
        <w:rPr>
          <w:rFonts w:ascii="Times New Roman" w:eastAsia="Times New Roman" w:hAnsi="Times New Roman" w:cs="Times New Roman"/>
          <w:b/>
          <w:bCs/>
          <w:sz w:val="24"/>
          <w:szCs w:val="24"/>
        </w:rPr>
      </w:pPr>
    </w:p>
    <w:p w14:paraId="25B3B984" w14:textId="5E5B0A3E" w:rsidR="00D21245" w:rsidRPr="00654664" w:rsidRDefault="00D21245" w:rsidP="00381D38">
      <w:pPr>
        <w:ind w:right="630"/>
        <w:rPr>
          <w:rFonts w:ascii="Times New Roman" w:eastAsia="Times New Roman" w:hAnsi="Times New Roman" w:cs="Times New Roman"/>
          <w:sz w:val="24"/>
          <w:szCs w:val="24"/>
        </w:rPr>
      </w:pPr>
      <w:r w:rsidRPr="00654664">
        <w:rPr>
          <w:rFonts w:ascii="Times New Roman" w:eastAsia="Times New Roman" w:hAnsi="Times New Roman" w:cs="Times New Roman"/>
          <w:sz w:val="24"/>
          <w:szCs w:val="24"/>
        </w:rPr>
        <w:t>Obviously, the pandemic has created cashflow problems for many Americans this year. So, it’s smart to make sure your withholding and estimated taxes align with what you expect to pay while you still have time to fix the problem.</w:t>
      </w:r>
      <w:r w:rsidR="00D81166" w:rsidRPr="00654664">
        <w:rPr>
          <w:rFonts w:ascii="Times New Roman" w:eastAsia="Times New Roman" w:hAnsi="Times New Roman" w:cs="Times New Roman"/>
          <w:sz w:val="24"/>
          <w:szCs w:val="24"/>
        </w:rPr>
        <w:t xml:space="preserve"> </w:t>
      </w:r>
      <w:r w:rsidRPr="00654664">
        <w:rPr>
          <w:rFonts w:ascii="Times New Roman" w:eastAsia="Times New Roman" w:hAnsi="Times New Roman" w:cs="Times New Roman"/>
          <w:sz w:val="24"/>
          <w:szCs w:val="24"/>
        </w:rPr>
        <w:t xml:space="preserve">If you find yourself in danger of being penalized for underpaying taxes, you can make up the shortfall – or some of it – through an increased withholding on your salary or any year-end bonuses. </w:t>
      </w:r>
    </w:p>
    <w:p w14:paraId="0303C084" w14:textId="2B0CB1C5" w:rsidR="00D21245" w:rsidRPr="00654664" w:rsidRDefault="00D21245" w:rsidP="00381D38">
      <w:pPr>
        <w:ind w:right="630"/>
        <w:rPr>
          <w:rFonts w:ascii="Times New Roman" w:hAnsi="Times New Roman" w:cs="Times New Roman"/>
          <w:color w:val="333333"/>
          <w:sz w:val="24"/>
          <w:szCs w:val="24"/>
          <w:shd w:val="clear" w:color="auto" w:fill="FFFFFF"/>
        </w:rPr>
      </w:pPr>
      <w:r w:rsidRPr="00654664">
        <w:rPr>
          <w:rFonts w:ascii="Times New Roman" w:eastAsia="Times New Roman" w:hAnsi="Times New Roman" w:cs="Times New Roman"/>
          <w:b/>
          <w:bCs/>
          <w:sz w:val="24"/>
          <w:szCs w:val="24"/>
        </w:rPr>
        <w:br/>
      </w:r>
      <w:r w:rsidRPr="00654664">
        <w:rPr>
          <w:rFonts w:ascii="Times New Roman" w:eastAsia="Times New Roman" w:hAnsi="Times New Roman" w:cs="Times New Roman"/>
          <w:sz w:val="24"/>
          <w:szCs w:val="24"/>
        </w:rPr>
        <w:t>You may still be subject to penalties for underpayments in previous quarters. But increasing your withholding for year-end wages can still make a big difference in the size of any potential penalty. You can use the IRS’s tax-withholding estimator tool available on the IRS.gov website to make the calculation.</w:t>
      </w:r>
      <w:r w:rsidRPr="00654664">
        <w:rPr>
          <w:rFonts w:ascii="Times New Roman" w:eastAsia="Times New Roman" w:hAnsi="Times New Roman" w:cs="Times New Roman"/>
          <w:sz w:val="24"/>
          <w:szCs w:val="24"/>
        </w:rPr>
        <w:br/>
      </w:r>
      <w:r w:rsidRPr="00654664">
        <w:rPr>
          <w:rFonts w:ascii="Times New Roman" w:eastAsia="Times New Roman" w:hAnsi="Times New Roman" w:cs="Times New Roman"/>
          <w:sz w:val="24"/>
          <w:szCs w:val="24"/>
        </w:rPr>
        <w:br/>
        <w:t>Another year-end strategy you might want to consider if you own your home is going green. If you install alternative energy equipment such as solar panels, wind turbines or a solar hot water heater, you can claim a tax credit on your out-of-pocket costs. The value of this credit is dropping, but it’s still at 22 percent now.</w:t>
      </w:r>
      <w:r w:rsidR="00D81166" w:rsidRPr="00654664">
        <w:rPr>
          <w:rFonts w:ascii="Times New Roman" w:eastAsia="Times New Roman" w:hAnsi="Times New Roman" w:cs="Times New Roman"/>
          <w:sz w:val="24"/>
          <w:szCs w:val="24"/>
        </w:rPr>
        <w:t xml:space="preserve"> </w:t>
      </w:r>
      <w:r w:rsidRPr="00654664">
        <w:rPr>
          <w:rFonts w:ascii="Times New Roman" w:eastAsia="Times New Roman" w:hAnsi="Times New Roman" w:cs="Times New Roman"/>
          <w:sz w:val="24"/>
          <w:szCs w:val="24"/>
        </w:rPr>
        <w:t xml:space="preserve">What’s more, if selling your home is part of your retirement strategy, adding these energy efficient improvements will increase its value. </w:t>
      </w:r>
      <w:r w:rsidRPr="00654664">
        <w:rPr>
          <w:rFonts w:ascii="Times New Roman" w:eastAsia="Times New Roman" w:hAnsi="Times New Roman" w:cs="Times New Roman"/>
          <w:sz w:val="24"/>
          <w:szCs w:val="24"/>
        </w:rPr>
        <w:br/>
      </w:r>
      <w:r w:rsidRPr="00654664">
        <w:rPr>
          <w:rFonts w:ascii="Times New Roman" w:eastAsia="Times New Roman" w:hAnsi="Times New Roman" w:cs="Times New Roman"/>
          <w:sz w:val="24"/>
          <w:szCs w:val="24"/>
        </w:rPr>
        <w:br/>
      </w:r>
      <w:r w:rsidR="006D3FAE">
        <w:rPr>
          <w:rFonts w:ascii="Times New Roman" w:hAnsi="Times New Roman" w:cs="Times New Roman"/>
          <w:sz w:val="24"/>
          <w:szCs w:val="24"/>
        </w:rPr>
        <w:lastRenderedPageBreak/>
        <w:t>T</w:t>
      </w:r>
      <w:r w:rsidRPr="00654664">
        <w:rPr>
          <w:rFonts w:ascii="Times New Roman" w:hAnsi="Times New Roman" w:cs="Times New Roman"/>
          <w:sz w:val="24"/>
          <w:szCs w:val="24"/>
        </w:rPr>
        <w:t xml:space="preserve">he IRS </w:t>
      </w:r>
      <w:r w:rsidR="006D3FAE">
        <w:rPr>
          <w:rFonts w:ascii="Times New Roman" w:hAnsi="Times New Roman" w:cs="Times New Roman"/>
          <w:sz w:val="24"/>
          <w:szCs w:val="24"/>
        </w:rPr>
        <w:t xml:space="preserve">recently </w:t>
      </w:r>
      <w:r w:rsidRPr="00654664">
        <w:rPr>
          <w:rFonts w:ascii="Times New Roman" w:hAnsi="Times New Roman" w:cs="Times New Roman"/>
          <w:sz w:val="24"/>
          <w:szCs w:val="24"/>
        </w:rPr>
        <w:t>released a breakdown of next year’s marginal income tax rates.</w:t>
      </w:r>
      <w:r w:rsidR="006D3FAE">
        <w:rPr>
          <w:rFonts w:ascii="Times New Roman" w:hAnsi="Times New Roman" w:cs="Times New Roman"/>
          <w:sz w:val="24"/>
          <w:szCs w:val="24"/>
        </w:rPr>
        <w:t xml:space="preserve"> </w:t>
      </w:r>
      <w:r w:rsidRPr="00654664">
        <w:rPr>
          <w:rFonts w:ascii="Times New Roman" w:hAnsi="Times New Roman" w:cs="Times New Roman"/>
          <w:sz w:val="24"/>
          <w:szCs w:val="24"/>
        </w:rPr>
        <w:t xml:space="preserve">This update occurs each year to reflect inflation </w:t>
      </w:r>
      <w:r w:rsidRPr="00654664">
        <w:rPr>
          <w:rFonts w:ascii="Times New Roman" w:hAnsi="Times New Roman" w:cs="Times New Roman"/>
          <w:color w:val="333333"/>
          <w:sz w:val="24"/>
          <w:szCs w:val="24"/>
          <w:shd w:val="clear" w:color="auto" w:fill="FFFFFF"/>
        </w:rPr>
        <w:t>and reduce what’s called “bracket creep. That’s when a taxpayer gets pushed into a higher tax bracket not because he earned more money, but because of rising inflation. These</w:t>
      </w:r>
      <w:r w:rsidRPr="00654664">
        <w:rPr>
          <w:rFonts w:ascii="Times New Roman" w:hAnsi="Times New Roman" w:cs="Times New Roman"/>
          <w:sz w:val="24"/>
          <w:szCs w:val="24"/>
        </w:rPr>
        <w:t xml:space="preserve"> brackets are marginal, meaning that different portions of your income – up to a specific dollar amount – will be taxed at a different rate. </w:t>
      </w:r>
    </w:p>
    <w:p w14:paraId="41FD356F" w14:textId="3FBF1170" w:rsidR="00D21245" w:rsidRPr="00654664" w:rsidRDefault="00D21245" w:rsidP="00381D38">
      <w:pPr>
        <w:ind w:right="630"/>
        <w:rPr>
          <w:rFonts w:ascii="Times New Roman" w:hAnsi="Times New Roman" w:cs="Times New Roman"/>
          <w:b/>
          <w:bCs/>
          <w:sz w:val="24"/>
          <w:szCs w:val="24"/>
        </w:rPr>
      </w:pPr>
      <w:r w:rsidRPr="00654664">
        <w:rPr>
          <w:rFonts w:ascii="Times New Roman" w:hAnsi="Times New Roman" w:cs="Times New Roman"/>
          <w:b/>
          <w:bCs/>
          <w:sz w:val="24"/>
          <w:szCs w:val="24"/>
        </w:rPr>
        <w:br/>
      </w:r>
      <w:r w:rsidR="00BC7987" w:rsidRPr="00654664">
        <w:rPr>
          <w:rFonts w:ascii="Times New Roman" w:hAnsi="Times New Roman" w:cs="Times New Roman"/>
          <w:b/>
          <w:bCs/>
          <w:sz w:val="24"/>
          <w:szCs w:val="24"/>
        </w:rPr>
        <w:t>&lt;</w:t>
      </w:r>
      <w:r w:rsidRPr="00654664">
        <w:rPr>
          <w:rFonts w:ascii="Times New Roman" w:hAnsi="Times New Roman" w:cs="Times New Roman"/>
          <w:b/>
          <w:bCs/>
          <w:sz w:val="24"/>
          <w:szCs w:val="24"/>
        </w:rPr>
        <w:t>Insert: GRFX: Chart of the new tax brackets</w:t>
      </w:r>
      <w:r w:rsidR="00BC7987" w:rsidRPr="00654664">
        <w:rPr>
          <w:rFonts w:ascii="Times New Roman" w:hAnsi="Times New Roman" w:cs="Times New Roman"/>
          <w:b/>
          <w:bCs/>
          <w:sz w:val="24"/>
          <w:szCs w:val="24"/>
        </w:rPr>
        <w:t>&gt;</w:t>
      </w:r>
    </w:p>
    <w:p w14:paraId="29F7C6FC" w14:textId="77777777" w:rsidR="00D21245" w:rsidRPr="00654664" w:rsidRDefault="00DC2911" w:rsidP="00381D38">
      <w:pPr>
        <w:ind w:right="630"/>
        <w:rPr>
          <w:rFonts w:ascii="Times New Roman" w:hAnsi="Times New Roman" w:cs="Times New Roman"/>
          <w:sz w:val="24"/>
          <w:szCs w:val="24"/>
        </w:rPr>
      </w:pPr>
      <w:hyperlink r:id="rId5" w:history="1">
        <w:r w:rsidR="00D21245" w:rsidRPr="00654664">
          <w:rPr>
            <w:rStyle w:val="Hyperlink"/>
            <w:rFonts w:ascii="Times New Roman" w:hAnsi="Times New Roman" w:cs="Times New Roman"/>
            <w:sz w:val="24"/>
            <w:szCs w:val="24"/>
          </w:rPr>
          <w:t>https://www.aarp.org/money/taxes/info-2020/income-tax-brackets.html</w:t>
        </w:r>
      </w:hyperlink>
    </w:p>
    <w:p w14:paraId="15D0BCD4" w14:textId="3E3A113B" w:rsidR="00D21245" w:rsidRPr="00654664" w:rsidRDefault="00D21245" w:rsidP="00381D38">
      <w:pPr>
        <w:ind w:right="630"/>
        <w:rPr>
          <w:rFonts w:ascii="Times New Roman" w:eastAsia="Times New Roman" w:hAnsi="Times New Roman" w:cs="Times New Roman"/>
          <w:sz w:val="24"/>
          <w:szCs w:val="24"/>
        </w:rPr>
      </w:pPr>
      <w:r w:rsidRPr="00654664">
        <w:rPr>
          <w:rFonts w:ascii="Times New Roman" w:hAnsi="Times New Roman" w:cs="Times New Roman"/>
          <w:b/>
          <w:bCs/>
          <w:sz w:val="24"/>
          <w:szCs w:val="24"/>
        </w:rPr>
        <w:br/>
      </w:r>
      <w:r w:rsidRPr="00654664">
        <w:rPr>
          <w:rFonts w:ascii="Times New Roman" w:eastAsia="Times New Roman" w:hAnsi="Times New Roman" w:cs="Times New Roman"/>
          <w:sz w:val="24"/>
          <w:szCs w:val="24"/>
        </w:rPr>
        <w:t>For 2021, the top tax rate of 37 percent will apply to individual taxpayers with income over $523,600 dollars, or $628,300 dollars for those married and filing jointly. That’s up from just over $518,000 for individuals this year and just over $622,000 for joint filers.</w:t>
      </w:r>
    </w:p>
    <w:p w14:paraId="03E8C46C" w14:textId="5B20ACB4" w:rsidR="00D21245" w:rsidRPr="00654664" w:rsidRDefault="00D21245" w:rsidP="00381D38">
      <w:pPr>
        <w:ind w:right="630"/>
        <w:rPr>
          <w:rFonts w:ascii="Times New Roman" w:eastAsia="Times New Roman" w:hAnsi="Times New Roman" w:cs="Times New Roman"/>
          <w:b/>
          <w:bCs/>
          <w:sz w:val="24"/>
          <w:szCs w:val="24"/>
        </w:rPr>
      </w:pPr>
    </w:p>
    <w:p w14:paraId="13C40794" w14:textId="0F8E5A53" w:rsidR="00D21245" w:rsidRPr="00654664" w:rsidRDefault="00D21245" w:rsidP="00381D38">
      <w:pPr>
        <w:ind w:right="630"/>
        <w:rPr>
          <w:rFonts w:ascii="Times New Roman" w:hAnsi="Times New Roman" w:cs="Times New Roman"/>
          <w:color w:val="333333"/>
          <w:sz w:val="24"/>
          <w:szCs w:val="24"/>
        </w:rPr>
      </w:pPr>
      <w:r w:rsidRPr="00654664">
        <w:rPr>
          <w:rFonts w:ascii="Times New Roman" w:eastAsia="Times New Roman" w:hAnsi="Times New Roman" w:cs="Times New Roman"/>
          <w:sz w:val="24"/>
          <w:szCs w:val="24"/>
        </w:rPr>
        <w:t xml:space="preserve">Meanwhile, single filers with income over $209,425 dollars will fall into the 35 percent bracket, as will joint filers earning just under $419,000. Again, </w:t>
      </w:r>
      <w:r w:rsidRPr="00654664">
        <w:rPr>
          <w:rFonts w:ascii="Times New Roman" w:hAnsi="Times New Roman" w:cs="Times New Roman"/>
          <w:color w:val="333333"/>
          <w:sz w:val="24"/>
          <w:szCs w:val="24"/>
        </w:rPr>
        <w:t xml:space="preserve">the brackets are marginal, so your highest tax bracket doesn't reflect how much you pay in federal taxes. If, for instance, you're a single filer in the 22 percent tax bracket for 2020, you don't pay 22 percent on all your taxable income. </w:t>
      </w:r>
      <w:r w:rsidRPr="00654664">
        <w:rPr>
          <w:rFonts w:ascii="Times New Roman" w:hAnsi="Times New Roman" w:cs="Times New Roman"/>
          <w:color w:val="333333"/>
          <w:sz w:val="24"/>
          <w:szCs w:val="24"/>
        </w:rPr>
        <w:br/>
      </w:r>
    </w:p>
    <w:p w14:paraId="62636FE9" w14:textId="24491953" w:rsidR="00D21245" w:rsidRPr="00654664" w:rsidRDefault="00BC7987" w:rsidP="00381D38">
      <w:pPr>
        <w:ind w:right="630"/>
        <w:rPr>
          <w:rFonts w:ascii="Times New Roman" w:hAnsi="Times New Roman" w:cs="Times New Roman"/>
          <w:b/>
          <w:bCs/>
          <w:color w:val="333333"/>
          <w:sz w:val="24"/>
          <w:szCs w:val="24"/>
        </w:rPr>
      </w:pPr>
      <w:r w:rsidRPr="00654664">
        <w:rPr>
          <w:rFonts w:ascii="Times New Roman" w:hAnsi="Times New Roman" w:cs="Times New Roman"/>
          <w:b/>
          <w:bCs/>
          <w:color w:val="333333"/>
          <w:sz w:val="24"/>
          <w:szCs w:val="24"/>
        </w:rPr>
        <w:t>&lt;</w:t>
      </w:r>
      <w:r w:rsidR="00D21245" w:rsidRPr="00654664">
        <w:rPr>
          <w:rFonts w:ascii="Times New Roman" w:hAnsi="Times New Roman" w:cs="Times New Roman"/>
          <w:b/>
          <w:bCs/>
          <w:color w:val="333333"/>
          <w:sz w:val="24"/>
          <w:szCs w:val="24"/>
        </w:rPr>
        <w:t>Insert: GRFX: Chart of this year’s tax brackets with the bottom three brackets highlighted</w:t>
      </w:r>
      <w:r w:rsidRPr="00654664">
        <w:rPr>
          <w:rFonts w:ascii="Times New Roman" w:hAnsi="Times New Roman" w:cs="Times New Roman"/>
          <w:b/>
          <w:bCs/>
          <w:color w:val="333333"/>
          <w:sz w:val="24"/>
          <w:szCs w:val="24"/>
        </w:rPr>
        <w:t>&gt;</w:t>
      </w:r>
    </w:p>
    <w:p w14:paraId="1BC931DC" w14:textId="77777777" w:rsidR="00D21245" w:rsidRPr="00654664" w:rsidRDefault="00DC2911" w:rsidP="00381D38">
      <w:pPr>
        <w:ind w:right="630"/>
        <w:rPr>
          <w:rFonts w:ascii="Times New Roman" w:hAnsi="Times New Roman" w:cs="Times New Roman"/>
          <w:sz w:val="24"/>
          <w:szCs w:val="24"/>
        </w:rPr>
      </w:pPr>
      <w:hyperlink r:id="rId6" w:history="1">
        <w:r w:rsidR="00D21245" w:rsidRPr="00654664">
          <w:rPr>
            <w:rStyle w:val="Hyperlink"/>
            <w:rFonts w:ascii="Times New Roman" w:hAnsi="Times New Roman" w:cs="Times New Roman"/>
            <w:sz w:val="24"/>
            <w:szCs w:val="24"/>
          </w:rPr>
          <w:t>https://www.aarp.org/money/taxes/info-2020/income-tax-brackets.html</w:t>
        </w:r>
      </w:hyperlink>
    </w:p>
    <w:p w14:paraId="108A9433" w14:textId="4B9A3DC3" w:rsidR="00D21245" w:rsidRPr="00654664" w:rsidRDefault="00D21245" w:rsidP="00381D38">
      <w:pPr>
        <w:ind w:right="630"/>
        <w:rPr>
          <w:rFonts w:ascii="Times New Roman" w:hAnsi="Times New Roman" w:cs="Times New Roman"/>
          <w:b/>
          <w:bCs/>
          <w:color w:val="333333"/>
          <w:sz w:val="24"/>
          <w:szCs w:val="24"/>
        </w:rPr>
      </w:pPr>
    </w:p>
    <w:p w14:paraId="229B80D2" w14:textId="513424A4" w:rsidR="00D21245" w:rsidRPr="00654664" w:rsidRDefault="00D21245" w:rsidP="00381D38">
      <w:pPr>
        <w:ind w:right="630"/>
        <w:rPr>
          <w:rFonts w:ascii="Times New Roman" w:hAnsi="Times New Roman" w:cs="Times New Roman"/>
          <w:color w:val="333333"/>
          <w:sz w:val="24"/>
          <w:szCs w:val="24"/>
        </w:rPr>
      </w:pPr>
      <w:r w:rsidRPr="00654664">
        <w:rPr>
          <w:rFonts w:ascii="Times New Roman" w:hAnsi="Times New Roman" w:cs="Times New Roman"/>
          <w:color w:val="333333"/>
          <w:sz w:val="24"/>
          <w:szCs w:val="24"/>
        </w:rPr>
        <w:t>You pay 10 percent on taxable income up to $9,875 dollars, 12 percent on the amount between that and $40,125, and 22 percent on anything above that.</w:t>
      </w:r>
      <w:r w:rsidR="00023BCD" w:rsidRPr="00654664">
        <w:rPr>
          <w:rFonts w:ascii="Times New Roman" w:hAnsi="Times New Roman" w:cs="Times New Roman"/>
          <w:color w:val="333333"/>
          <w:sz w:val="24"/>
          <w:szCs w:val="24"/>
        </w:rPr>
        <w:t xml:space="preserve"> </w:t>
      </w:r>
      <w:r w:rsidRPr="00654664">
        <w:rPr>
          <w:rFonts w:ascii="Times New Roman" w:hAnsi="Times New Roman" w:cs="Times New Roman"/>
          <w:color w:val="333333"/>
          <w:sz w:val="24"/>
          <w:szCs w:val="24"/>
        </w:rPr>
        <w:t xml:space="preserve">Like everything having to do with the IRS, it can get confusing, which is why it’s always best to have your financial advisor involved in any decisions or changes you may be considering for your tax strategy. </w:t>
      </w:r>
    </w:p>
    <w:p w14:paraId="7F3C2382" w14:textId="768350C7" w:rsidR="00D21245" w:rsidRPr="00654664" w:rsidRDefault="00D21245" w:rsidP="00381D38">
      <w:pPr>
        <w:ind w:right="630"/>
        <w:rPr>
          <w:rFonts w:ascii="Times New Roman" w:hAnsi="Times New Roman" w:cs="Times New Roman"/>
          <w:color w:val="333333"/>
          <w:sz w:val="24"/>
          <w:szCs w:val="24"/>
        </w:rPr>
      </w:pPr>
      <w:r w:rsidRPr="00654664">
        <w:rPr>
          <w:rFonts w:ascii="Times New Roman" w:hAnsi="Times New Roman" w:cs="Times New Roman"/>
          <w:b/>
          <w:bCs/>
          <w:color w:val="333333"/>
          <w:sz w:val="24"/>
          <w:szCs w:val="24"/>
        </w:rPr>
        <w:br/>
      </w:r>
      <w:r w:rsidRPr="00654664">
        <w:rPr>
          <w:rFonts w:ascii="Times New Roman" w:hAnsi="Times New Roman" w:cs="Times New Roman"/>
          <w:color w:val="333333"/>
          <w:sz w:val="24"/>
          <w:szCs w:val="24"/>
        </w:rPr>
        <w:t>That’s especially true when you’re in or nearing retirement and have many new tax decisions to make related to things like your social security income, required minimum distributions and – as we already mentioned – estate planning.</w:t>
      </w:r>
    </w:p>
    <w:p w14:paraId="76395500" w14:textId="2B4A0858" w:rsidR="00D21245" w:rsidRPr="00654664" w:rsidRDefault="00D21245" w:rsidP="00381D38">
      <w:pPr>
        <w:ind w:right="630"/>
        <w:rPr>
          <w:rFonts w:ascii="Times New Roman" w:eastAsia="Times New Roman" w:hAnsi="Times New Roman" w:cs="Times New Roman"/>
          <w:sz w:val="24"/>
          <w:szCs w:val="24"/>
        </w:rPr>
      </w:pPr>
      <w:r w:rsidRPr="00654664">
        <w:rPr>
          <w:rFonts w:ascii="Times New Roman" w:hAnsi="Times New Roman" w:cs="Times New Roman"/>
          <w:color w:val="333333"/>
          <w:sz w:val="24"/>
          <w:szCs w:val="24"/>
        </w:rPr>
        <w:br/>
      </w:r>
      <w:r w:rsidRPr="00654664">
        <w:rPr>
          <w:rFonts w:ascii="Times New Roman" w:hAnsi="Times New Roman" w:cs="Times New Roman"/>
          <w:sz w:val="24"/>
          <w:szCs w:val="24"/>
        </w:rPr>
        <w:t xml:space="preserve">Getting back to changes for next year, you should also be aware that the </w:t>
      </w:r>
      <w:r w:rsidRPr="00654664">
        <w:rPr>
          <w:rFonts w:ascii="Times New Roman" w:eastAsia="Times New Roman" w:hAnsi="Times New Roman" w:cs="Times New Roman"/>
          <w:sz w:val="24"/>
          <w:szCs w:val="24"/>
        </w:rPr>
        <w:t>standard deduction will rise to $12,550 dollars for single filers. And the standard deduction for couples filing jointly will rise to $25,100.</w:t>
      </w:r>
      <w:r w:rsidR="00EA1703">
        <w:rPr>
          <w:rFonts w:ascii="Times New Roman" w:eastAsia="Times New Roman" w:hAnsi="Times New Roman" w:cs="Times New Roman"/>
          <w:sz w:val="24"/>
          <w:szCs w:val="24"/>
        </w:rPr>
        <w:t xml:space="preserve"> </w:t>
      </w:r>
      <w:r w:rsidRPr="00654664">
        <w:rPr>
          <w:rFonts w:ascii="Times New Roman" w:eastAsia="Times New Roman" w:hAnsi="Times New Roman" w:cs="Times New Roman"/>
          <w:sz w:val="24"/>
          <w:szCs w:val="24"/>
        </w:rPr>
        <w:t>What’s more, single filers age 65 and older can increase the standard deduction by $1,700 dollars next year, and each joint filer 65 and over can increase it by $1,350 apiece, or $2,700 total.</w:t>
      </w:r>
    </w:p>
    <w:p w14:paraId="10AC15EE" w14:textId="00F9169C" w:rsidR="00D21245" w:rsidRPr="00654664" w:rsidRDefault="00D21245" w:rsidP="00381D38">
      <w:pPr>
        <w:ind w:right="630"/>
        <w:rPr>
          <w:rFonts w:ascii="Times New Roman" w:eastAsia="Times New Roman" w:hAnsi="Times New Roman" w:cs="Times New Roman"/>
          <w:sz w:val="24"/>
          <w:szCs w:val="24"/>
        </w:rPr>
      </w:pPr>
      <w:r w:rsidRPr="00654664">
        <w:rPr>
          <w:rFonts w:ascii="Times New Roman" w:eastAsia="Times New Roman" w:hAnsi="Times New Roman" w:cs="Times New Roman"/>
          <w:b/>
          <w:bCs/>
          <w:sz w:val="24"/>
          <w:szCs w:val="24"/>
        </w:rPr>
        <w:br/>
      </w:r>
      <w:r w:rsidRPr="00654664">
        <w:rPr>
          <w:rFonts w:ascii="Times New Roman" w:eastAsia="Times New Roman" w:hAnsi="Times New Roman" w:cs="Times New Roman"/>
          <w:sz w:val="24"/>
          <w:szCs w:val="24"/>
        </w:rPr>
        <w:t>As you probably know, you need to have more tax deductions than th</w:t>
      </w:r>
      <w:r w:rsidR="00EA1703">
        <w:rPr>
          <w:rFonts w:ascii="Times New Roman" w:eastAsia="Times New Roman" w:hAnsi="Times New Roman" w:cs="Times New Roman"/>
          <w:sz w:val="24"/>
          <w:szCs w:val="24"/>
        </w:rPr>
        <w:t>e</w:t>
      </w:r>
      <w:r w:rsidRPr="00654664">
        <w:rPr>
          <w:rFonts w:ascii="Times New Roman" w:eastAsia="Times New Roman" w:hAnsi="Times New Roman" w:cs="Times New Roman"/>
          <w:sz w:val="24"/>
          <w:szCs w:val="24"/>
        </w:rPr>
        <w:t xml:space="preserve"> standard deduction to make itemizing your tax return worthwhile – and even then, in certain cases the standard deduction might still make more sense. Again, the right advisor can help you figure that out – </w:t>
      </w:r>
      <w:r w:rsidRPr="00654664">
        <w:rPr>
          <w:rFonts w:ascii="Times New Roman" w:eastAsia="Times New Roman" w:hAnsi="Times New Roman" w:cs="Times New Roman"/>
          <w:sz w:val="24"/>
          <w:szCs w:val="24"/>
          <w:u w:val="single"/>
        </w:rPr>
        <w:t>and</w:t>
      </w:r>
      <w:r w:rsidRPr="00654664">
        <w:rPr>
          <w:rFonts w:ascii="Times New Roman" w:eastAsia="Times New Roman" w:hAnsi="Times New Roman" w:cs="Times New Roman"/>
          <w:sz w:val="24"/>
          <w:szCs w:val="24"/>
        </w:rPr>
        <w:t xml:space="preserve"> help set you up to take advantage of other tax-saving strategies. </w:t>
      </w:r>
    </w:p>
    <w:p w14:paraId="77ACEB38" w14:textId="117FFEDA" w:rsidR="00423D32" w:rsidRPr="00654664" w:rsidRDefault="00423D32" w:rsidP="00381D38">
      <w:pPr>
        <w:ind w:right="630"/>
        <w:rPr>
          <w:rFonts w:ascii="Times New Roman" w:hAnsi="Times New Roman" w:cs="Times New Roman"/>
          <w:sz w:val="24"/>
          <w:szCs w:val="24"/>
        </w:rPr>
      </w:pPr>
      <w:r w:rsidRPr="00654664">
        <w:rPr>
          <w:rFonts w:ascii="Times New Roman" w:eastAsia="Times New Roman" w:hAnsi="Times New Roman" w:cs="Times New Roman"/>
          <w:sz w:val="24"/>
          <w:szCs w:val="24"/>
        </w:rPr>
        <w:br/>
      </w:r>
      <w:r w:rsidRPr="00654664">
        <w:rPr>
          <w:rFonts w:ascii="Times New Roman" w:hAnsi="Times New Roman" w:cs="Times New Roman"/>
          <w:sz w:val="24"/>
          <w:szCs w:val="24"/>
        </w:rPr>
        <w:t xml:space="preserve">Taking advantage of the bigger standard deduction offered by the IRS once you turn 65 is just one tax strategy you can use </w:t>
      </w:r>
      <w:r w:rsidRPr="00654664">
        <w:rPr>
          <w:rFonts w:ascii="Times New Roman" w:hAnsi="Times New Roman" w:cs="Times New Roman"/>
          <w:sz w:val="24"/>
          <w:szCs w:val="24"/>
          <w:u w:val="single"/>
        </w:rPr>
        <w:t>every</w:t>
      </w:r>
      <w:r w:rsidR="00DC2911" w:rsidRPr="00DC2911">
        <w:rPr>
          <w:rFonts w:ascii="Times New Roman" w:hAnsi="Times New Roman" w:cs="Times New Roman"/>
          <w:sz w:val="24"/>
          <w:szCs w:val="24"/>
        </w:rPr>
        <w:t xml:space="preserve"> </w:t>
      </w:r>
      <w:r w:rsidRPr="00654664">
        <w:rPr>
          <w:rFonts w:ascii="Times New Roman" w:hAnsi="Times New Roman" w:cs="Times New Roman"/>
          <w:sz w:val="24"/>
          <w:szCs w:val="24"/>
        </w:rPr>
        <w:t xml:space="preserve">year once </w:t>
      </w:r>
      <w:r w:rsidR="00DC2911" w:rsidRPr="00654664">
        <w:rPr>
          <w:rFonts w:ascii="Times New Roman" w:hAnsi="Times New Roman" w:cs="Times New Roman"/>
          <w:sz w:val="24"/>
          <w:szCs w:val="24"/>
        </w:rPr>
        <w:t>you have</w:t>
      </w:r>
      <w:r w:rsidRPr="00654664">
        <w:rPr>
          <w:rFonts w:ascii="Times New Roman" w:hAnsi="Times New Roman" w:cs="Times New Roman"/>
          <w:sz w:val="24"/>
          <w:szCs w:val="24"/>
        </w:rPr>
        <w:t xml:space="preserve"> reached retirement age. </w:t>
      </w:r>
      <w:r w:rsidR="00DC2911">
        <w:rPr>
          <w:rFonts w:ascii="Times New Roman" w:hAnsi="Times New Roman" w:cs="Times New Roman"/>
          <w:sz w:val="24"/>
          <w:szCs w:val="24"/>
        </w:rPr>
        <w:t xml:space="preserve">Keep </w:t>
      </w:r>
      <w:r w:rsidR="00DC2911">
        <w:rPr>
          <w:rFonts w:ascii="Times New Roman" w:hAnsi="Times New Roman" w:cs="Times New Roman"/>
          <w:sz w:val="24"/>
          <w:szCs w:val="24"/>
        </w:rPr>
        <w:lastRenderedPageBreak/>
        <w:t xml:space="preserve">in mind, there </w:t>
      </w:r>
      <w:r w:rsidRPr="00654664">
        <w:rPr>
          <w:rFonts w:ascii="Times New Roman" w:hAnsi="Times New Roman" w:cs="Times New Roman"/>
          <w:sz w:val="24"/>
          <w:szCs w:val="24"/>
        </w:rPr>
        <w:t>are others</w:t>
      </w:r>
      <w:r w:rsidR="00DC2911">
        <w:rPr>
          <w:rFonts w:ascii="Times New Roman" w:hAnsi="Times New Roman" w:cs="Times New Roman"/>
          <w:sz w:val="24"/>
          <w:szCs w:val="24"/>
        </w:rPr>
        <w:t xml:space="preserve"> as well.</w:t>
      </w:r>
      <w:r w:rsidR="001F5483" w:rsidRPr="00654664">
        <w:rPr>
          <w:rFonts w:ascii="Times New Roman" w:hAnsi="Times New Roman" w:cs="Times New Roman"/>
          <w:sz w:val="24"/>
          <w:szCs w:val="24"/>
        </w:rPr>
        <w:br/>
      </w:r>
    </w:p>
    <w:p w14:paraId="1413E2D5" w14:textId="77777777" w:rsidR="00423D32" w:rsidRPr="00654664" w:rsidRDefault="00423D32" w:rsidP="00381D38">
      <w:pPr>
        <w:ind w:right="630"/>
        <w:rPr>
          <w:rFonts w:ascii="Times New Roman" w:eastAsia="Times New Roman" w:hAnsi="Times New Roman" w:cs="Times New Roman"/>
          <w:sz w:val="24"/>
          <w:szCs w:val="24"/>
        </w:rPr>
      </w:pPr>
      <w:r w:rsidRPr="00654664">
        <w:rPr>
          <w:rFonts w:ascii="Times New Roman" w:hAnsi="Times New Roman" w:cs="Times New Roman"/>
          <w:sz w:val="24"/>
          <w:szCs w:val="24"/>
        </w:rPr>
        <w:t xml:space="preserve">For example, if you </w:t>
      </w:r>
      <w:r w:rsidRPr="00654664">
        <w:rPr>
          <w:rFonts w:ascii="Times New Roman" w:eastAsia="Times New Roman" w:hAnsi="Times New Roman" w:cs="Times New Roman"/>
          <w:sz w:val="24"/>
          <w:szCs w:val="24"/>
        </w:rPr>
        <w:t>become self-employed after you leave your job – as a consultant for instance – you can deduct the premiums you pay for Medicare Part B and Part D. You can also deduct the costs of supplemental Medicare policies or a Medicare Advantage plan.</w:t>
      </w:r>
    </w:p>
    <w:p w14:paraId="57EEA4D3" w14:textId="1D2B5787" w:rsidR="00423D32" w:rsidRPr="00654664" w:rsidRDefault="001F5483" w:rsidP="00381D38">
      <w:pPr>
        <w:ind w:right="630"/>
        <w:rPr>
          <w:rFonts w:ascii="Times New Roman" w:eastAsia="Times New Roman" w:hAnsi="Times New Roman" w:cs="Times New Roman"/>
          <w:sz w:val="24"/>
          <w:szCs w:val="24"/>
        </w:rPr>
      </w:pPr>
      <w:r w:rsidRPr="00654664">
        <w:rPr>
          <w:rFonts w:ascii="Times New Roman" w:eastAsia="Times New Roman" w:hAnsi="Times New Roman" w:cs="Times New Roman"/>
          <w:sz w:val="24"/>
          <w:szCs w:val="24"/>
        </w:rPr>
        <w:br/>
      </w:r>
      <w:r w:rsidR="00423D32" w:rsidRPr="00654664">
        <w:rPr>
          <w:rFonts w:ascii="Times New Roman" w:eastAsia="Times New Roman" w:hAnsi="Times New Roman" w:cs="Times New Roman"/>
          <w:sz w:val="24"/>
          <w:szCs w:val="24"/>
        </w:rPr>
        <w:t>Another strategy that might work for you involves spousal IRA contributions. Even if you’re no longer working but your spouse still is, he or she can contribute up to $7,000 dollars a year to an IRA that you own.</w:t>
      </w:r>
      <w:r w:rsidR="008B3B95" w:rsidRPr="00654664">
        <w:rPr>
          <w:rFonts w:ascii="Times New Roman" w:eastAsia="Times New Roman" w:hAnsi="Times New Roman" w:cs="Times New Roman"/>
          <w:sz w:val="24"/>
          <w:szCs w:val="24"/>
        </w:rPr>
        <w:t xml:space="preserve"> </w:t>
      </w:r>
      <w:proofErr w:type="gramStart"/>
      <w:r w:rsidR="00423D32" w:rsidRPr="00654664">
        <w:rPr>
          <w:rFonts w:ascii="Times New Roman" w:eastAsia="Times New Roman" w:hAnsi="Times New Roman" w:cs="Times New Roman"/>
          <w:sz w:val="24"/>
          <w:szCs w:val="24"/>
        </w:rPr>
        <w:t>As long as</w:t>
      </w:r>
      <w:proofErr w:type="gramEnd"/>
      <w:r w:rsidR="00423D32" w:rsidRPr="00654664">
        <w:rPr>
          <w:rFonts w:ascii="Times New Roman" w:eastAsia="Times New Roman" w:hAnsi="Times New Roman" w:cs="Times New Roman"/>
          <w:sz w:val="24"/>
          <w:szCs w:val="24"/>
        </w:rPr>
        <w:t xml:space="preserve"> your spouse has enough earned income to make that contribution, this tax shelter remains available to you.</w:t>
      </w:r>
    </w:p>
    <w:p w14:paraId="1A4A4D36" w14:textId="078E0436" w:rsidR="00D21245" w:rsidRPr="00654664" w:rsidRDefault="001F5483" w:rsidP="00381D38">
      <w:pPr>
        <w:ind w:right="630"/>
        <w:rPr>
          <w:rFonts w:ascii="Times New Roman" w:eastAsia="Times New Roman" w:hAnsi="Times New Roman" w:cs="Times New Roman"/>
          <w:sz w:val="24"/>
          <w:szCs w:val="24"/>
        </w:rPr>
      </w:pPr>
      <w:r w:rsidRPr="00654664">
        <w:rPr>
          <w:rFonts w:ascii="Times New Roman" w:eastAsia="Times New Roman" w:hAnsi="Times New Roman" w:cs="Times New Roman"/>
          <w:sz w:val="24"/>
          <w:szCs w:val="24"/>
        </w:rPr>
        <w:br/>
      </w:r>
      <w:r w:rsidR="00423D32" w:rsidRPr="00654664">
        <w:rPr>
          <w:rFonts w:ascii="Times New Roman" w:eastAsia="Times New Roman" w:hAnsi="Times New Roman" w:cs="Times New Roman"/>
          <w:sz w:val="24"/>
          <w:szCs w:val="24"/>
        </w:rPr>
        <w:t xml:space="preserve">Another popular strategy is to have any payout you receive from a pension, annuity or IRA sent directly to a rollover IRA instead of to you. </w:t>
      </w:r>
      <w:proofErr w:type="gramStart"/>
      <w:r w:rsidR="00423D32" w:rsidRPr="00654664">
        <w:rPr>
          <w:rFonts w:ascii="Times New Roman" w:eastAsia="Times New Roman" w:hAnsi="Times New Roman" w:cs="Times New Roman"/>
          <w:sz w:val="24"/>
          <w:szCs w:val="24"/>
        </w:rPr>
        <w:t>As long as</w:t>
      </w:r>
      <w:proofErr w:type="gramEnd"/>
      <w:r w:rsidR="00423D32" w:rsidRPr="00654664">
        <w:rPr>
          <w:rFonts w:ascii="Times New Roman" w:eastAsia="Times New Roman" w:hAnsi="Times New Roman" w:cs="Times New Roman"/>
          <w:sz w:val="24"/>
          <w:szCs w:val="24"/>
        </w:rPr>
        <w:t xml:space="preserve"> the check is made out to that account and not to you personally, you’ll avoid the automatic withholding of 20 percent required by the IRS. </w:t>
      </w:r>
      <w:r w:rsidR="008B3B95" w:rsidRPr="00654664">
        <w:rPr>
          <w:rFonts w:ascii="Times New Roman" w:eastAsia="Times New Roman" w:hAnsi="Times New Roman" w:cs="Times New Roman"/>
          <w:sz w:val="24"/>
          <w:szCs w:val="24"/>
        </w:rPr>
        <w:br/>
      </w:r>
      <w:r w:rsidR="008B3B95" w:rsidRPr="00654664">
        <w:rPr>
          <w:rFonts w:ascii="Times New Roman" w:eastAsia="Times New Roman" w:hAnsi="Times New Roman" w:cs="Times New Roman"/>
          <w:sz w:val="24"/>
          <w:szCs w:val="24"/>
        </w:rPr>
        <w:br/>
      </w:r>
      <w:r w:rsidR="00423D32" w:rsidRPr="00654664">
        <w:rPr>
          <w:rFonts w:ascii="Times New Roman" w:eastAsia="Times New Roman" w:hAnsi="Times New Roman" w:cs="Times New Roman"/>
          <w:sz w:val="24"/>
          <w:szCs w:val="24"/>
        </w:rPr>
        <w:t>Again, these are just a few examples of strategies that may or may not be right for you, depending on your situation and retirement goals. The right</w:t>
      </w:r>
      <w:r w:rsidR="0068227A">
        <w:rPr>
          <w:rFonts w:ascii="Times New Roman" w:eastAsia="Times New Roman" w:hAnsi="Times New Roman" w:cs="Times New Roman"/>
          <w:sz w:val="24"/>
          <w:szCs w:val="24"/>
        </w:rPr>
        <w:t xml:space="preserve"> financial </w:t>
      </w:r>
      <w:r w:rsidR="00423D32" w:rsidRPr="00654664">
        <w:rPr>
          <w:rFonts w:ascii="Times New Roman" w:eastAsia="Times New Roman" w:hAnsi="Times New Roman" w:cs="Times New Roman"/>
          <w:sz w:val="24"/>
          <w:szCs w:val="24"/>
        </w:rPr>
        <w:t xml:space="preserve">advisor can help you make that determination, and help you coordinate these strategies with your broader retirement income plan. </w:t>
      </w:r>
    </w:p>
    <w:p w14:paraId="690F3650" w14:textId="15D4421E" w:rsidR="00AE269C" w:rsidRPr="007A3ACF" w:rsidRDefault="002A1C75" w:rsidP="00381D38">
      <w:pPr>
        <w:tabs>
          <w:tab w:val="left" w:pos="6480"/>
        </w:tabs>
        <w:spacing w:after="120"/>
        <w:ind w:right="630"/>
        <w:rPr>
          <w:rFonts w:ascii="Times New Roman" w:hAnsi="Times New Roman" w:cs="Times New Roman"/>
          <w:sz w:val="24"/>
          <w:szCs w:val="24"/>
        </w:rPr>
      </w:pPr>
      <w:r>
        <w:rPr>
          <w:rFonts w:ascii="Times New Roman" w:hAnsi="Times New Roman" w:cs="Times New Roman"/>
          <w:color w:val="002060"/>
          <w:sz w:val="32"/>
          <w:szCs w:val="32"/>
        </w:rPr>
        <w:br/>
      </w:r>
      <w:r w:rsidRPr="008B3B95">
        <w:rPr>
          <w:rFonts w:ascii="Times New Roman" w:hAnsi="Times New Roman" w:cs="Times New Roman"/>
          <w:color w:val="0070C0"/>
          <w:sz w:val="32"/>
          <w:szCs w:val="32"/>
        </w:rPr>
        <w:t xml:space="preserve">How </w:t>
      </w:r>
      <w:r w:rsidRPr="008B3B95">
        <w:rPr>
          <w:rFonts w:ascii="Times New Roman" w:hAnsi="Times New Roman" w:cs="Times New Roman"/>
          <w:b/>
          <w:bCs/>
          <w:color w:val="0070C0"/>
          <w:sz w:val="32"/>
          <w:szCs w:val="32"/>
        </w:rPr>
        <w:t>Inflation Rates</w:t>
      </w:r>
      <w:r w:rsidRPr="008B3B95">
        <w:rPr>
          <w:rFonts w:ascii="Times New Roman" w:hAnsi="Times New Roman" w:cs="Times New Roman"/>
          <w:color w:val="0070C0"/>
          <w:sz w:val="32"/>
          <w:szCs w:val="32"/>
        </w:rPr>
        <w:t xml:space="preserve"> could rise as the Fed prints more money… </w:t>
      </w:r>
      <w:r w:rsidR="000A496E">
        <w:rPr>
          <w:rFonts w:ascii="Times New Roman" w:hAnsi="Times New Roman" w:cs="Times New Roman"/>
          <w:color w:val="0070C0"/>
          <w:sz w:val="32"/>
          <w:szCs w:val="32"/>
        </w:rPr>
        <w:br/>
      </w:r>
      <w:r w:rsidR="00AE269C">
        <w:rPr>
          <w:rFonts w:ascii="Times New Roman" w:hAnsi="Times New Roman" w:cs="Times New Roman"/>
          <w:color w:val="0070C0"/>
          <w:sz w:val="32"/>
          <w:szCs w:val="32"/>
        </w:rPr>
        <w:br/>
      </w:r>
      <w:r w:rsidR="00092DD4" w:rsidRPr="007A3ACF">
        <w:rPr>
          <w:rFonts w:ascii="Times New Roman" w:hAnsi="Times New Roman" w:cs="Times New Roman"/>
          <w:sz w:val="24"/>
          <w:szCs w:val="24"/>
        </w:rPr>
        <w:t xml:space="preserve">It’s no secret that inflation has the potential to slowly eat away at the value of your savings. </w:t>
      </w:r>
      <w:r w:rsidR="00E02E08" w:rsidRPr="007A3ACF">
        <w:rPr>
          <w:rFonts w:ascii="Times New Roman" w:hAnsi="Times New Roman" w:cs="Times New Roman"/>
          <w:sz w:val="24"/>
          <w:szCs w:val="24"/>
        </w:rPr>
        <w:t xml:space="preserve">Estimates differ, but the average rate of inflation </w:t>
      </w:r>
      <w:r w:rsidR="00341E5A">
        <w:rPr>
          <w:rFonts w:ascii="Times New Roman" w:hAnsi="Times New Roman" w:cs="Times New Roman"/>
          <w:sz w:val="24"/>
          <w:szCs w:val="24"/>
        </w:rPr>
        <w:t xml:space="preserve">on the goods and services that we purchase </w:t>
      </w:r>
      <w:r w:rsidR="00E02E08" w:rsidRPr="007A3ACF">
        <w:rPr>
          <w:rFonts w:ascii="Times New Roman" w:hAnsi="Times New Roman" w:cs="Times New Roman"/>
          <w:sz w:val="24"/>
          <w:szCs w:val="24"/>
        </w:rPr>
        <w:t>is right around 3 - 4%. That means if you had $100,000 in the bank</w:t>
      </w:r>
      <w:r w:rsidR="00DC2911">
        <w:rPr>
          <w:rFonts w:ascii="Times New Roman" w:hAnsi="Times New Roman" w:cs="Times New Roman"/>
          <w:sz w:val="24"/>
          <w:szCs w:val="24"/>
        </w:rPr>
        <w:t>, ea</w:t>
      </w:r>
      <w:r w:rsidR="00E02E08" w:rsidRPr="007A3ACF">
        <w:rPr>
          <w:rFonts w:ascii="Times New Roman" w:hAnsi="Times New Roman" w:cs="Times New Roman"/>
          <w:sz w:val="24"/>
          <w:szCs w:val="24"/>
        </w:rPr>
        <w:t xml:space="preserve">ch year the amount of goods you could buy with your savings would decrease by approximately $3,000 to $4,000. </w:t>
      </w:r>
      <w:r w:rsidR="00092DD4" w:rsidRPr="007A3ACF">
        <w:rPr>
          <w:rFonts w:ascii="Times New Roman" w:hAnsi="Times New Roman" w:cs="Times New Roman"/>
          <w:sz w:val="24"/>
          <w:szCs w:val="24"/>
        </w:rPr>
        <w:br/>
      </w:r>
      <w:r w:rsidR="00092DD4" w:rsidRPr="007A3ACF">
        <w:rPr>
          <w:rFonts w:ascii="Times New Roman" w:hAnsi="Times New Roman" w:cs="Times New Roman"/>
          <w:sz w:val="24"/>
          <w:szCs w:val="24"/>
        </w:rPr>
        <w:br/>
      </w:r>
      <w:r w:rsidR="001C08B2">
        <w:rPr>
          <w:rFonts w:ascii="Times New Roman" w:hAnsi="Times New Roman" w:cs="Times New Roman"/>
          <w:sz w:val="24"/>
          <w:szCs w:val="24"/>
        </w:rPr>
        <w:t xml:space="preserve">Although it is often overlooked, inflation impacts all aspects of our lives—from the cost of lunch to the cost of mailing a letter. </w:t>
      </w:r>
      <w:r w:rsidR="00092DD4" w:rsidRPr="007A3ACF">
        <w:rPr>
          <w:rFonts w:ascii="Times New Roman" w:hAnsi="Times New Roman" w:cs="Times New Roman"/>
          <w:sz w:val="24"/>
          <w:szCs w:val="24"/>
        </w:rPr>
        <w:t xml:space="preserve">To better understand how inflation decreases your purchasing power over </w:t>
      </w:r>
      <w:r w:rsidR="00DC2911">
        <w:rPr>
          <w:rFonts w:ascii="Times New Roman" w:hAnsi="Times New Roman" w:cs="Times New Roman"/>
          <w:sz w:val="24"/>
          <w:szCs w:val="24"/>
        </w:rPr>
        <w:t>time</w:t>
      </w:r>
      <w:r w:rsidR="00092DD4" w:rsidRPr="007A3ACF">
        <w:rPr>
          <w:rFonts w:ascii="Times New Roman" w:hAnsi="Times New Roman" w:cs="Times New Roman"/>
          <w:sz w:val="24"/>
          <w:szCs w:val="24"/>
        </w:rPr>
        <w:t xml:space="preserve">, </w:t>
      </w:r>
      <w:proofErr w:type="gramStart"/>
      <w:r w:rsidR="00092DD4" w:rsidRPr="007A3ACF">
        <w:rPr>
          <w:rFonts w:ascii="Times New Roman" w:hAnsi="Times New Roman" w:cs="Times New Roman"/>
          <w:sz w:val="24"/>
          <w:szCs w:val="24"/>
        </w:rPr>
        <w:t>let’s</w:t>
      </w:r>
      <w:proofErr w:type="gramEnd"/>
      <w:r w:rsidR="00092DD4" w:rsidRPr="007A3ACF">
        <w:rPr>
          <w:rFonts w:ascii="Times New Roman" w:hAnsi="Times New Roman" w:cs="Times New Roman"/>
          <w:sz w:val="24"/>
          <w:szCs w:val="24"/>
        </w:rPr>
        <w:t xml:space="preserve"> look at “The Big Mac Index”</w:t>
      </w:r>
      <w:r w:rsidR="001C08B2">
        <w:rPr>
          <w:rFonts w:ascii="Times New Roman" w:hAnsi="Times New Roman" w:cs="Times New Roman"/>
          <w:sz w:val="24"/>
          <w:szCs w:val="24"/>
        </w:rPr>
        <w:t>, which c</w:t>
      </w:r>
      <w:r w:rsidR="00092DD4" w:rsidRPr="007A3ACF">
        <w:rPr>
          <w:rFonts w:ascii="Times New Roman" w:hAnsi="Times New Roman" w:cs="Times New Roman"/>
          <w:sz w:val="24"/>
          <w:szCs w:val="24"/>
        </w:rPr>
        <w:t>ompares the cost of</w:t>
      </w:r>
      <w:r w:rsidR="001C08B2">
        <w:rPr>
          <w:rFonts w:ascii="Times New Roman" w:hAnsi="Times New Roman" w:cs="Times New Roman"/>
          <w:sz w:val="24"/>
          <w:szCs w:val="24"/>
        </w:rPr>
        <w:t xml:space="preserve"> a Big Mac </w:t>
      </w:r>
      <w:r w:rsidR="001C08B2" w:rsidRPr="007A3ACF">
        <w:rPr>
          <w:rFonts w:ascii="Times New Roman" w:hAnsi="Times New Roman" w:cs="Times New Roman"/>
          <w:sz w:val="24"/>
          <w:szCs w:val="24"/>
        </w:rPr>
        <w:t>sandwich</w:t>
      </w:r>
      <w:r w:rsidR="001C08B2">
        <w:rPr>
          <w:rFonts w:ascii="Times New Roman" w:hAnsi="Times New Roman" w:cs="Times New Roman"/>
          <w:sz w:val="24"/>
          <w:szCs w:val="24"/>
        </w:rPr>
        <w:t xml:space="preserve"> at Mc Donald’s through the years. </w:t>
      </w:r>
      <w:r w:rsidR="00AE2874">
        <w:rPr>
          <w:rFonts w:ascii="Times New Roman" w:hAnsi="Times New Roman" w:cs="Times New Roman"/>
          <w:sz w:val="24"/>
          <w:szCs w:val="24"/>
        </w:rPr>
        <w:br/>
      </w:r>
      <w:r w:rsidR="00AE2874">
        <w:rPr>
          <w:rFonts w:ascii="Times New Roman" w:hAnsi="Times New Roman" w:cs="Times New Roman"/>
          <w:sz w:val="24"/>
          <w:szCs w:val="24"/>
        </w:rPr>
        <w:br/>
      </w:r>
      <w:r w:rsidR="00092DD4" w:rsidRPr="007A3ACF">
        <w:rPr>
          <w:rFonts w:ascii="Times New Roman" w:hAnsi="Times New Roman" w:cs="Times New Roman"/>
          <w:sz w:val="24"/>
          <w:szCs w:val="24"/>
        </w:rPr>
        <w:t>Back in 1986</w:t>
      </w:r>
      <w:r w:rsidR="00DC2911">
        <w:rPr>
          <w:rFonts w:ascii="Times New Roman" w:hAnsi="Times New Roman" w:cs="Times New Roman"/>
          <w:sz w:val="24"/>
          <w:szCs w:val="24"/>
        </w:rPr>
        <w:t>,</w:t>
      </w:r>
      <w:r w:rsidR="00092DD4" w:rsidRPr="007A3ACF">
        <w:rPr>
          <w:rFonts w:ascii="Times New Roman" w:hAnsi="Times New Roman" w:cs="Times New Roman"/>
          <w:sz w:val="24"/>
          <w:szCs w:val="24"/>
        </w:rPr>
        <w:t xml:space="preserve"> the price </w:t>
      </w:r>
      <w:r w:rsidR="001C08B2">
        <w:rPr>
          <w:rFonts w:ascii="Times New Roman" w:hAnsi="Times New Roman" w:cs="Times New Roman"/>
          <w:sz w:val="24"/>
          <w:szCs w:val="24"/>
        </w:rPr>
        <w:t xml:space="preserve">of </w:t>
      </w:r>
      <w:r w:rsidR="00092DD4" w:rsidRPr="007A3ACF">
        <w:rPr>
          <w:rFonts w:ascii="Times New Roman" w:hAnsi="Times New Roman" w:cs="Times New Roman"/>
          <w:sz w:val="24"/>
          <w:szCs w:val="24"/>
        </w:rPr>
        <w:t>a Big Mac was $1.50. In the year 2000, the price of the same sandwich had gone up to $2.50. In 2012, that Big Mac would cost about $4.33</w:t>
      </w:r>
      <w:r w:rsidR="001C08B2">
        <w:rPr>
          <w:rFonts w:ascii="Times New Roman" w:hAnsi="Times New Roman" w:cs="Times New Roman"/>
          <w:sz w:val="24"/>
          <w:szCs w:val="24"/>
        </w:rPr>
        <w:t xml:space="preserve"> and by </w:t>
      </w:r>
      <w:r w:rsidR="00092DD4" w:rsidRPr="007A3ACF">
        <w:rPr>
          <w:rFonts w:ascii="Times New Roman" w:hAnsi="Times New Roman" w:cs="Times New Roman"/>
          <w:sz w:val="24"/>
          <w:szCs w:val="24"/>
        </w:rPr>
        <w:t>201</w:t>
      </w:r>
      <w:r w:rsidR="00FB6487" w:rsidRPr="007A3ACF">
        <w:rPr>
          <w:rFonts w:ascii="Times New Roman" w:hAnsi="Times New Roman" w:cs="Times New Roman"/>
          <w:sz w:val="24"/>
          <w:szCs w:val="24"/>
        </w:rPr>
        <w:t>6</w:t>
      </w:r>
      <w:r w:rsidR="00092DD4" w:rsidRPr="007A3ACF">
        <w:rPr>
          <w:rFonts w:ascii="Times New Roman" w:hAnsi="Times New Roman" w:cs="Times New Roman"/>
          <w:sz w:val="24"/>
          <w:szCs w:val="24"/>
        </w:rPr>
        <w:t>, that same sandwich w</w:t>
      </w:r>
      <w:r w:rsidR="001C08B2">
        <w:rPr>
          <w:rFonts w:ascii="Times New Roman" w:hAnsi="Times New Roman" w:cs="Times New Roman"/>
          <w:sz w:val="24"/>
          <w:szCs w:val="24"/>
        </w:rPr>
        <w:t xml:space="preserve">ould </w:t>
      </w:r>
      <w:r w:rsidR="00092DD4" w:rsidRPr="007A3ACF">
        <w:rPr>
          <w:rFonts w:ascii="Times New Roman" w:hAnsi="Times New Roman" w:cs="Times New Roman"/>
          <w:sz w:val="24"/>
          <w:szCs w:val="24"/>
        </w:rPr>
        <w:t>cost you $</w:t>
      </w:r>
      <w:r w:rsidR="00FB6487" w:rsidRPr="007A3ACF">
        <w:rPr>
          <w:rFonts w:ascii="Times New Roman" w:hAnsi="Times New Roman" w:cs="Times New Roman"/>
          <w:sz w:val="24"/>
          <w:szCs w:val="24"/>
        </w:rPr>
        <w:t>4.93</w:t>
      </w:r>
      <w:r w:rsidR="00092DD4" w:rsidRPr="007A3ACF">
        <w:rPr>
          <w:rFonts w:ascii="Times New Roman" w:hAnsi="Times New Roman" w:cs="Times New Roman"/>
          <w:sz w:val="24"/>
          <w:szCs w:val="24"/>
        </w:rPr>
        <w:t xml:space="preserve">. </w:t>
      </w:r>
      <w:r w:rsidR="001C08B2">
        <w:rPr>
          <w:rFonts w:ascii="Times New Roman" w:hAnsi="Times New Roman" w:cs="Times New Roman"/>
          <w:sz w:val="24"/>
          <w:szCs w:val="24"/>
        </w:rPr>
        <w:t xml:space="preserve">During the </w:t>
      </w:r>
      <w:r w:rsidR="00DC2911">
        <w:rPr>
          <w:rFonts w:ascii="Times New Roman" w:hAnsi="Times New Roman" w:cs="Times New Roman"/>
          <w:sz w:val="24"/>
          <w:szCs w:val="24"/>
        </w:rPr>
        <w:t>twenty-year</w:t>
      </w:r>
      <w:r w:rsidR="001C08B2">
        <w:rPr>
          <w:rFonts w:ascii="Times New Roman" w:hAnsi="Times New Roman" w:cs="Times New Roman"/>
          <w:sz w:val="24"/>
          <w:szCs w:val="24"/>
        </w:rPr>
        <w:t xml:space="preserve"> period between 1</w:t>
      </w:r>
      <w:r w:rsidR="00092DD4" w:rsidRPr="007A3ACF">
        <w:rPr>
          <w:rFonts w:ascii="Times New Roman" w:hAnsi="Times New Roman" w:cs="Times New Roman"/>
          <w:sz w:val="24"/>
          <w:szCs w:val="24"/>
        </w:rPr>
        <w:t>986</w:t>
      </w:r>
      <w:r w:rsidR="001C08B2">
        <w:rPr>
          <w:rFonts w:ascii="Times New Roman" w:hAnsi="Times New Roman" w:cs="Times New Roman"/>
          <w:sz w:val="24"/>
          <w:szCs w:val="24"/>
        </w:rPr>
        <w:t xml:space="preserve"> and </w:t>
      </w:r>
      <w:r w:rsidR="00092DD4" w:rsidRPr="007A3ACF">
        <w:rPr>
          <w:rFonts w:ascii="Times New Roman" w:hAnsi="Times New Roman" w:cs="Times New Roman"/>
          <w:sz w:val="24"/>
          <w:szCs w:val="24"/>
        </w:rPr>
        <w:t>201</w:t>
      </w:r>
      <w:r w:rsidR="00FB6487" w:rsidRPr="007A3ACF">
        <w:rPr>
          <w:rFonts w:ascii="Times New Roman" w:hAnsi="Times New Roman" w:cs="Times New Roman"/>
          <w:sz w:val="24"/>
          <w:szCs w:val="24"/>
        </w:rPr>
        <w:t>6</w:t>
      </w:r>
      <w:r w:rsidR="00092DD4" w:rsidRPr="007A3ACF">
        <w:rPr>
          <w:rFonts w:ascii="Times New Roman" w:hAnsi="Times New Roman" w:cs="Times New Roman"/>
          <w:sz w:val="24"/>
          <w:szCs w:val="24"/>
        </w:rPr>
        <w:t xml:space="preserve">, the cost of </w:t>
      </w:r>
      <w:r w:rsidR="001C08B2">
        <w:rPr>
          <w:rFonts w:ascii="Times New Roman" w:hAnsi="Times New Roman" w:cs="Times New Roman"/>
          <w:sz w:val="24"/>
          <w:szCs w:val="24"/>
        </w:rPr>
        <w:t xml:space="preserve">treating yourself to </w:t>
      </w:r>
      <w:r w:rsidR="00092DD4" w:rsidRPr="007A3ACF">
        <w:rPr>
          <w:rFonts w:ascii="Times New Roman" w:hAnsi="Times New Roman" w:cs="Times New Roman"/>
          <w:sz w:val="24"/>
          <w:szCs w:val="24"/>
        </w:rPr>
        <w:t>a Big Mac has gone up by about 22</w:t>
      </w:r>
      <w:r w:rsidR="00FB6487" w:rsidRPr="007A3ACF">
        <w:rPr>
          <w:rFonts w:ascii="Times New Roman" w:hAnsi="Times New Roman" w:cs="Times New Roman"/>
          <w:sz w:val="24"/>
          <w:szCs w:val="24"/>
        </w:rPr>
        <w:t>9</w:t>
      </w:r>
      <w:r w:rsidR="00092DD4" w:rsidRPr="007A3ACF">
        <w:rPr>
          <w:rFonts w:ascii="Times New Roman" w:hAnsi="Times New Roman" w:cs="Times New Roman"/>
          <w:sz w:val="24"/>
          <w:szCs w:val="24"/>
        </w:rPr>
        <w:t>%!</w:t>
      </w:r>
      <w:r w:rsidR="00FE35A4" w:rsidRPr="007A3ACF">
        <w:rPr>
          <w:rFonts w:ascii="Times New Roman" w:hAnsi="Times New Roman" w:cs="Times New Roman"/>
          <w:sz w:val="24"/>
          <w:szCs w:val="24"/>
        </w:rPr>
        <w:br/>
      </w:r>
      <w:r w:rsidR="00FE35A4" w:rsidRPr="007A3ACF">
        <w:rPr>
          <w:rFonts w:ascii="Times New Roman" w:hAnsi="Times New Roman" w:cs="Times New Roman"/>
          <w:sz w:val="24"/>
          <w:szCs w:val="24"/>
        </w:rPr>
        <w:br/>
        <w:t xml:space="preserve">Another simple example of the power of inflation can be seen by </w:t>
      </w:r>
      <w:proofErr w:type="gramStart"/>
      <w:r w:rsidR="00DC2911">
        <w:rPr>
          <w:rFonts w:ascii="Times New Roman" w:hAnsi="Times New Roman" w:cs="Times New Roman"/>
          <w:sz w:val="24"/>
          <w:szCs w:val="24"/>
        </w:rPr>
        <w:t>taking a look</w:t>
      </w:r>
      <w:proofErr w:type="gramEnd"/>
      <w:r w:rsidR="00DC2911">
        <w:rPr>
          <w:rFonts w:ascii="Times New Roman" w:hAnsi="Times New Roman" w:cs="Times New Roman"/>
          <w:sz w:val="24"/>
          <w:szCs w:val="24"/>
        </w:rPr>
        <w:t xml:space="preserve"> at</w:t>
      </w:r>
      <w:r w:rsidR="00FE35A4" w:rsidRPr="007A3ACF">
        <w:rPr>
          <w:rFonts w:ascii="Times New Roman" w:hAnsi="Times New Roman" w:cs="Times New Roman"/>
          <w:sz w:val="24"/>
          <w:szCs w:val="24"/>
        </w:rPr>
        <w:t xml:space="preserve"> the cost of a stamp. Back in 1980</w:t>
      </w:r>
      <w:r w:rsidR="00DC2911">
        <w:rPr>
          <w:rFonts w:ascii="Times New Roman" w:hAnsi="Times New Roman" w:cs="Times New Roman"/>
          <w:sz w:val="24"/>
          <w:szCs w:val="24"/>
        </w:rPr>
        <w:t>,</w:t>
      </w:r>
      <w:r w:rsidR="00FE35A4" w:rsidRPr="007A3ACF">
        <w:rPr>
          <w:rFonts w:ascii="Times New Roman" w:hAnsi="Times New Roman" w:cs="Times New Roman"/>
          <w:sz w:val="24"/>
          <w:szCs w:val="24"/>
        </w:rPr>
        <w:t xml:space="preserve"> a postage stamp cost 15 cents. Today, it costs 55 cents, a 267% increase over 20 years.</w:t>
      </w:r>
      <w:r w:rsidR="00E02E08" w:rsidRPr="007A3ACF">
        <w:rPr>
          <w:rFonts w:ascii="Times New Roman" w:hAnsi="Times New Roman" w:cs="Times New Roman"/>
          <w:sz w:val="24"/>
          <w:szCs w:val="24"/>
        </w:rPr>
        <w:br/>
      </w:r>
      <w:r w:rsidR="00FE35A4" w:rsidRPr="007A3ACF">
        <w:rPr>
          <w:rFonts w:ascii="Times New Roman" w:hAnsi="Times New Roman" w:cs="Times New Roman"/>
          <w:sz w:val="24"/>
          <w:szCs w:val="24"/>
        </w:rPr>
        <w:br/>
        <w:t xml:space="preserve">Slowly but surely, inflation is </w:t>
      </w:r>
      <w:r w:rsidR="00DC2911">
        <w:rPr>
          <w:rFonts w:ascii="Times New Roman" w:hAnsi="Times New Roman" w:cs="Times New Roman"/>
          <w:sz w:val="24"/>
          <w:szCs w:val="24"/>
        </w:rPr>
        <w:t xml:space="preserve">a </w:t>
      </w:r>
      <w:r w:rsidR="00FE35A4" w:rsidRPr="007A3ACF">
        <w:rPr>
          <w:rFonts w:ascii="Times New Roman" w:hAnsi="Times New Roman" w:cs="Times New Roman"/>
          <w:sz w:val="24"/>
          <w:szCs w:val="24"/>
        </w:rPr>
        <w:t>force that silently eat</w:t>
      </w:r>
      <w:r w:rsidR="001C08B2">
        <w:rPr>
          <w:rFonts w:ascii="Times New Roman" w:hAnsi="Times New Roman" w:cs="Times New Roman"/>
          <w:sz w:val="24"/>
          <w:szCs w:val="24"/>
        </w:rPr>
        <w:t xml:space="preserve">s </w:t>
      </w:r>
      <w:r w:rsidR="00FE35A4" w:rsidRPr="007A3ACF">
        <w:rPr>
          <w:rFonts w:ascii="Times New Roman" w:hAnsi="Times New Roman" w:cs="Times New Roman"/>
          <w:sz w:val="24"/>
          <w:szCs w:val="24"/>
        </w:rPr>
        <w:t xml:space="preserve">away at the purchasing power of our money. </w:t>
      </w:r>
      <w:r w:rsidR="001C08B2">
        <w:rPr>
          <w:rFonts w:ascii="Times New Roman" w:hAnsi="Times New Roman" w:cs="Times New Roman"/>
          <w:sz w:val="24"/>
          <w:szCs w:val="24"/>
        </w:rPr>
        <w:t>And, t</w:t>
      </w:r>
      <w:r w:rsidR="00E02E08" w:rsidRPr="007A3ACF">
        <w:rPr>
          <w:rFonts w:ascii="Times New Roman" w:hAnsi="Times New Roman" w:cs="Times New Roman"/>
          <w:sz w:val="24"/>
          <w:szCs w:val="24"/>
        </w:rPr>
        <w:t>o make matters worse</w:t>
      </w:r>
      <w:r w:rsidR="001C08B2">
        <w:rPr>
          <w:rFonts w:ascii="Times New Roman" w:hAnsi="Times New Roman" w:cs="Times New Roman"/>
          <w:sz w:val="24"/>
          <w:szCs w:val="24"/>
        </w:rPr>
        <w:t xml:space="preserve">, </w:t>
      </w:r>
      <w:r w:rsidR="00E02E08" w:rsidRPr="007A3ACF">
        <w:rPr>
          <w:rFonts w:ascii="Times New Roman" w:hAnsi="Times New Roman" w:cs="Times New Roman"/>
          <w:sz w:val="24"/>
          <w:szCs w:val="24"/>
        </w:rPr>
        <w:t xml:space="preserve">inflation tends to impact the things we’ll need in </w:t>
      </w:r>
      <w:r w:rsidR="00E02E08" w:rsidRPr="007A3ACF">
        <w:rPr>
          <w:rFonts w:ascii="Times New Roman" w:hAnsi="Times New Roman" w:cs="Times New Roman"/>
          <w:sz w:val="24"/>
          <w:szCs w:val="24"/>
        </w:rPr>
        <w:lastRenderedPageBreak/>
        <w:t xml:space="preserve">retirement, like healthcare, more than it does other goods and services. </w:t>
      </w:r>
      <w:r w:rsidR="00FE35A4" w:rsidRPr="007A3ACF">
        <w:rPr>
          <w:rFonts w:ascii="Times New Roman" w:hAnsi="Times New Roman" w:cs="Times New Roman"/>
          <w:sz w:val="24"/>
          <w:szCs w:val="24"/>
        </w:rPr>
        <w:br/>
      </w:r>
      <w:r w:rsidR="00FE35A4" w:rsidRPr="007A3ACF">
        <w:rPr>
          <w:rFonts w:ascii="Times New Roman" w:hAnsi="Times New Roman" w:cs="Times New Roman"/>
          <w:sz w:val="24"/>
          <w:szCs w:val="24"/>
        </w:rPr>
        <w:br/>
      </w:r>
      <w:r w:rsidR="00AE269C" w:rsidRPr="007A3ACF">
        <w:rPr>
          <w:rFonts w:ascii="Times New Roman" w:hAnsi="Times New Roman" w:cs="Times New Roman"/>
          <w:sz w:val="24"/>
          <w:szCs w:val="24"/>
        </w:rPr>
        <w:t>The textbook definition of inflation is “too much money chasing too few goods and services.” The textbooks also say that when you print money you create inflation, because it’s assumed consumers will spend that money, creating demand for goods and services, and pushing prices upward.</w:t>
      </w:r>
      <w:r w:rsidR="001C08B2">
        <w:rPr>
          <w:rFonts w:ascii="Times New Roman" w:hAnsi="Times New Roman" w:cs="Times New Roman"/>
          <w:sz w:val="24"/>
          <w:szCs w:val="24"/>
        </w:rPr>
        <w:br/>
      </w:r>
      <w:r w:rsidR="00E02E08" w:rsidRPr="007A3ACF">
        <w:rPr>
          <w:rFonts w:ascii="Times New Roman" w:hAnsi="Times New Roman" w:cs="Times New Roman"/>
          <w:sz w:val="24"/>
          <w:szCs w:val="24"/>
        </w:rPr>
        <w:br/>
        <w:t>Many economists believed that would be the case</w:t>
      </w:r>
      <w:r w:rsidR="00021361">
        <w:rPr>
          <w:rFonts w:ascii="Times New Roman" w:hAnsi="Times New Roman" w:cs="Times New Roman"/>
          <w:sz w:val="24"/>
          <w:szCs w:val="24"/>
        </w:rPr>
        <w:t xml:space="preserve"> </w:t>
      </w:r>
      <w:r w:rsidR="00E02E08" w:rsidRPr="007A3ACF">
        <w:rPr>
          <w:rFonts w:ascii="Times New Roman" w:hAnsi="Times New Roman" w:cs="Times New Roman"/>
          <w:sz w:val="24"/>
          <w:szCs w:val="24"/>
        </w:rPr>
        <w:t xml:space="preserve">when Congress provided Americans with their stimulus checks earlier this year. They thought that people would receive their checks and spend that money to help stimulate the economy. </w:t>
      </w:r>
      <w:r w:rsidR="00DC2911">
        <w:rPr>
          <w:rFonts w:ascii="Times New Roman" w:hAnsi="Times New Roman" w:cs="Times New Roman"/>
          <w:sz w:val="24"/>
          <w:szCs w:val="24"/>
        </w:rPr>
        <w:t xml:space="preserve">However, </w:t>
      </w:r>
      <w:r w:rsidR="009853E1" w:rsidRPr="007A3ACF">
        <w:rPr>
          <w:rFonts w:ascii="Times New Roman" w:hAnsi="Times New Roman" w:cs="Times New Roman"/>
          <w:sz w:val="24"/>
          <w:szCs w:val="24"/>
        </w:rPr>
        <w:t xml:space="preserve">instead of going out and spending that money to stimulate the economy, </w:t>
      </w:r>
      <w:r w:rsidR="00E02E08" w:rsidRPr="007A3ACF">
        <w:rPr>
          <w:rFonts w:ascii="Times New Roman" w:hAnsi="Times New Roman" w:cs="Times New Roman"/>
          <w:sz w:val="24"/>
          <w:szCs w:val="24"/>
        </w:rPr>
        <w:t>most people used it to pay for essentials, used it to pay down debt, or stashed it away in their savings</w:t>
      </w:r>
      <w:r w:rsidR="009853E1" w:rsidRPr="007A3ACF">
        <w:rPr>
          <w:rFonts w:ascii="Times New Roman" w:hAnsi="Times New Roman" w:cs="Times New Roman"/>
          <w:sz w:val="24"/>
          <w:szCs w:val="24"/>
        </w:rPr>
        <w:t>.</w:t>
      </w:r>
      <w:r w:rsidR="00996999">
        <w:rPr>
          <w:rFonts w:ascii="Times New Roman" w:hAnsi="Times New Roman" w:cs="Times New Roman"/>
          <w:sz w:val="24"/>
          <w:szCs w:val="24"/>
        </w:rPr>
        <w:br/>
      </w:r>
      <w:r w:rsidR="00996999">
        <w:rPr>
          <w:rFonts w:ascii="Times New Roman" w:hAnsi="Times New Roman" w:cs="Times New Roman"/>
          <w:sz w:val="24"/>
          <w:szCs w:val="24"/>
        </w:rPr>
        <w:br/>
      </w:r>
      <w:r w:rsidR="007A3ACF" w:rsidRPr="007A3ACF">
        <w:rPr>
          <w:rFonts w:ascii="Times New Roman" w:hAnsi="Times New Roman" w:cs="Times New Roman"/>
          <w:sz w:val="24"/>
          <w:szCs w:val="24"/>
        </w:rPr>
        <w:t xml:space="preserve">There are other economists who believe that the tremendous amount of money </w:t>
      </w:r>
      <w:r w:rsidR="00996999">
        <w:rPr>
          <w:rFonts w:ascii="Times New Roman" w:hAnsi="Times New Roman" w:cs="Times New Roman"/>
          <w:sz w:val="24"/>
          <w:szCs w:val="24"/>
        </w:rPr>
        <w:t xml:space="preserve">printing by the Fed </w:t>
      </w:r>
      <w:r w:rsidR="007A3ACF" w:rsidRPr="007A3ACF">
        <w:rPr>
          <w:rFonts w:ascii="Times New Roman" w:hAnsi="Times New Roman" w:cs="Times New Roman"/>
          <w:sz w:val="24"/>
          <w:szCs w:val="24"/>
        </w:rPr>
        <w:t>could result in what is know</w:t>
      </w:r>
      <w:r w:rsidR="00021361">
        <w:rPr>
          <w:rFonts w:ascii="Times New Roman" w:hAnsi="Times New Roman" w:cs="Times New Roman"/>
          <w:sz w:val="24"/>
          <w:szCs w:val="24"/>
        </w:rPr>
        <w:t xml:space="preserve">n </w:t>
      </w:r>
      <w:r w:rsidR="007A3ACF" w:rsidRPr="007A3ACF">
        <w:rPr>
          <w:rFonts w:ascii="Times New Roman" w:hAnsi="Times New Roman" w:cs="Times New Roman"/>
          <w:sz w:val="24"/>
          <w:szCs w:val="24"/>
        </w:rPr>
        <w:t xml:space="preserve">as asset </w:t>
      </w:r>
      <w:r w:rsidR="00021361">
        <w:rPr>
          <w:rFonts w:ascii="Times New Roman" w:hAnsi="Times New Roman" w:cs="Times New Roman"/>
          <w:sz w:val="24"/>
          <w:szCs w:val="24"/>
        </w:rPr>
        <w:t xml:space="preserve">price </w:t>
      </w:r>
      <w:r w:rsidR="007A3ACF" w:rsidRPr="007A3ACF">
        <w:rPr>
          <w:rFonts w:ascii="Times New Roman" w:hAnsi="Times New Roman" w:cs="Times New Roman"/>
          <w:sz w:val="24"/>
          <w:szCs w:val="24"/>
        </w:rPr>
        <w:t xml:space="preserve">inflation, where the increased liquidity in the </w:t>
      </w:r>
      <w:r w:rsidR="00341E5A">
        <w:rPr>
          <w:rFonts w:ascii="Times New Roman" w:hAnsi="Times New Roman" w:cs="Times New Roman"/>
          <w:sz w:val="24"/>
          <w:szCs w:val="24"/>
        </w:rPr>
        <w:t xml:space="preserve">economy and financial markets </w:t>
      </w:r>
      <w:r w:rsidR="007A3ACF" w:rsidRPr="007A3ACF">
        <w:rPr>
          <w:rFonts w:ascii="Times New Roman" w:hAnsi="Times New Roman" w:cs="Times New Roman"/>
          <w:sz w:val="24"/>
          <w:szCs w:val="24"/>
        </w:rPr>
        <w:t>drive</w:t>
      </w:r>
      <w:r w:rsidR="00341E5A">
        <w:rPr>
          <w:rFonts w:ascii="Times New Roman" w:hAnsi="Times New Roman" w:cs="Times New Roman"/>
          <w:sz w:val="24"/>
          <w:szCs w:val="24"/>
        </w:rPr>
        <w:t>s</w:t>
      </w:r>
      <w:r w:rsidR="007A3ACF" w:rsidRPr="007A3ACF">
        <w:rPr>
          <w:rFonts w:ascii="Times New Roman" w:hAnsi="Times New Roman" w:cs="Times New Roman"/>
          <w:sz w:val="24"/>
          <w:szCs w:val="24"/>
        </w:rPr>
        <w:t xml:space="preserve"> up the prices of things like real estate and </w:t>
      </w:r>
      <w:r w:rsidR="00341E5A">
        <w:rPr>
          <w:rFonts w:ascii="Times New Roman" w:hAnsi="Times New Roman" w:cs="Times New Roman"/>
          <w:sz w:val="24"/>
          <w:szCs w:val="24"/>
        </w:rPr>
        <w:t xml:space="preserve">shares of </w:t>
      </w:r>
      <w:r w:rsidR="007A3ACF" w:rsidRPr="007A3ACF">
        <w:rPr>
          <w:rFonts w:ascii="Times New Roman" w:hAnsi="Times New Roman" w:cs="Times New Roman"/>
          <w:sz w:val="24"/>
          <w:szCs w:val="24"/>
        </w:rPr>
        <w:t xml:space="preserve">stocks. Some fear that this could lead to an asset bubble and </w:t>
      </w:r>
      <w:r w:rsidR="00DC2911">
        <w:rPr>
          <w:rFonts w:ascii="Times New Roman" w:hAnsi="Times New Roman" w:cs="Times New Roman"/>
          <w:sz w:val="24"/>
          <w:szCs w:val="24"/>
        </w:rPr>
        <w:t>ultimately, the</w:t>
      </w:r>
      <w:r w:rsidR="007A3ACF" w:rsidRPr="007A3ACF">
        <w:rPr>
          <w:rFonts w:ascii="Times New Roman" w:hAnsi="Times New Roman" w:cs="Times New Roman"/>
          <w:sz w:val="24"/>
          <w:szCs w:val="24"/>
        </w:rPr>
        <w:t xml:space="preserve"> bursting of that bubble.</w:t>
      </w:r>
      <w:r w:rsidR="007A3ACF" w:rsidRPr="007A3ACF">
        <w:rPr>
          <w:rFonts w:ascii="Times New Roman" w:hAnsi="Times New Roman" w:cs="Times New Roman"/>
          <w:sz w:val="24"/>
          <w:szCs w:val="24"/>
        </w:rPr>
        <w:br/>
      </w:r>
      <w:r w:rsidR="007A3ACF" w:rsidRPr="007A3ACF">
        <w:rPr>
          <w:rFonts w:ascii="Times New Roman" w:hAnsi="Times New Roman" w:cs="Times New Roman"/>
          <w:sz w:val="24"/>
          <w:szCs w:val="24"/>
        </w:rPr>
        <w:br/>
        <w:t xml:space="preserve">While no one can know for sure how the unprecedented Quantitate Easing efforts of the Fed will impact inflation, </w:t>
      </w:r>
      <w:r w:rsidR="00DC2911">
        <w:rPr>
          <w:rFonts w:ascii="Times New Roman" w:hAnsi="Times New Roman" w:cs="Times New Roman"/>
          <w:sz w:val="24"/>
          <w:szCs w:val="24"/>
        </w:rPr>
        <w:t xml:space="preserve">this is clearly </w:t>
      </w:r>
      <w:r w:rsidR="007A3ACF" w:rsidRPr="007A3ACF">
        <w:rPr>
          <w:rFonts w:ascii="Times New Roman" w:hAnsi="Times New Roman" w:cs="Times New Roman"/>
          <w:sz w:val="24"/>
          <w:szCs w:val="24"/>
        </w:rPr>
        <w:t xml:space="preserve">something that your retirement plan needs to account for. </w:t>
      </w:r>
    </w:p>
    <w:p w14:paraId="024EDC8C" w14:textId="1EA02523" w:rsidR="00AE269C" w:rsidRPr="00654664" w:rsidRDefault="0076412A" w:rsidP="00381D38">
      <w:pPr>
        <w:ind w:right="630"/>
        <w:rPr>
          <w:rFonts w:ascii="Times New Roman" w:hAnsi="Times New Roman" w:cs="Times New Roman"/>
          <w:sz w:val="24"/>
          <w:szCs w:val="24"/>
        </w:rPr>
      </w:pPr>
      <w:r w:rsidRPr="00654664">
        <w:rPr>
          <w:rFonts w:ascii="Times New Roman" w:hAnsi="Times New Roman" w:cs="Times New Roman"/>
          <w:sz w:val="24"/>
          <w:szCs w:val="24"/>
        </w:rPr>
        <w:t>That’s why it is important that</w:t>
      </w:r>
      <w:r w:rsidR="00341E5A">
        <w:rPr>
          <w:rFonts w:ascii="Times New Roman" w:hAnsi="Times New Roman" w:cs="Times New Roman"/>
          <w:sz w:val="24"/>
          <w:szCs w:val="24"/>
        </w:rPr>
        <w:t xml:space="preserve"> those who are retired or nearing retirement, </w:t>
      </w:r>
      <w:r w:rsidR="001C4EFF" w:rsidRPr="00654664">
        <w:rPr>
          <w:rFonts w:ascii="Times New Roman" w:hAnsi="Times New Roman" w:cs="Times New Roman"/>
          <w:sz w:val="24"/>
          <w:szCs w:val="24"/>
        </w:rPr>
        <w:t xml:space="preserve">ensure </w:t>
      </w:r>
      <w:r w:rsidR="00341E5A">
        <w:rPr>
          <w:rFonts w:ascii="Times New Roman" w:hAnsi="Times New Roman" w:cs="Times New Roman"/>
          <w:sz w:val="24"/>
          <w:szCs w:val="24"/>
        </w:rPr>
        <w:t xml:space="preserve">their </w:t>
      </w:r>
      <w:r w:rsidR="001C4EFF" w:rsidRPr="00654664">
        <w:rPr>
          <w:rFonts w:ascii="Times New Roman" w:hAnsi="Times New Roman" w:cs="Times New Roman"/>
          <w:sz w:val="24"/>
          <w:szCs w:val="24"/>
        </w:rPr>
        <w:t xml:space="preserve">retirement plan is </w:t>
      </w:r>
      <w:r w:rsidR="004B76CD" w:rsidRPr="00654664">
        <w:rPr>
          <w:rFonts w:ascii="Times New Roman" w:hAnsi="Times New Roman" w:cs="Times New Roman"/>
          <w:sz w:val="24"/>
          <w:szCs w:val="24"/>
        </w:rPr>
        <w:t xml:space="preserve">designed </w:t>
      </w:r>
      <w:r w:rsidR="001C4EFF" w:rsidRPr="00654664">
        <w:rPr>
          <w:rFonts w:ascii="Times New Roman" w:hAnsi="Times New Roman" w:cs="Times New Roman"/>
          <w:sz w:val="24"/>
          <w:szCs w:val="24"/>
        </w:rPr>
        <w:t>to offset the power of inflation—through steady streams of income</w:t>
      </w:r>
      <w:r w:rsidR="00341E5A">
        <w:rPr>
          <w:rFonts w:ascii="Times New Roman" w:hAnsi="Times New Roman" w:cs="Times New Roman"/>
          <w:sz w:val="24"/>
          <w:szCs w:val="24"/>
        </w:rPr>
        <w:t xml:space="preserve"> that are not dependent on stock market performance.</w:t>
      </w:r>
      <w:r w:rsidR="007F05B6">
        <w:rPr>
          <w:rFonts w:ascii="Times New Roman" w:hAnsi="Times New Roman" w:cs="Times New Roman"/>
          <w:sz w:val="24"/>
          <w:szCs w:val="24"/>
        </w:rPr>
        <w:br/>
      </w:r>
    </w:p>
    <w:p w14:paraId="03352154" w14:textId="71A97812" w:rsidR="004B76CD" w:rsidRDefault="002A1C75" w:rsidP="00381D38">
      <w:pPr>
        <w:ind w:right="630"/>
        <w:rPr>
          <w:rFonts w:ascii="Times New Roman" w:hAnsi="Times New Roman" w:cs="Times New Roman"/>
          <w:color w:val="0070C0"/>
          <w:sz w:val="32"/>
          <w:szCs w:val="32"/>
        </w:rPr>
      </w:pPr>
      <w:r w:rsidRPr="008B3B95">
        <w:rPr>
          <w:rFonts w:ascii="Times New Roman" w:hAnsi="Times New Roman" w:cs="Times New Roman"/>
          <w:b/>
          <w:bCs/>
          <w:color w:val="0070C0"/>
          <w:sz w:val="32"/>
          <w:szCs w:val="32"/>
        </w:rPr>
        <w:t>Income Strategies</w:t>
      </w:r>
      <w:r w:rsidRPr="008B3B95">
        <w:rPr>
          <w:rFonts w:ascii="Times New Roman" w:hAnsi="Times New Roman" w:cs="Times New Roman"/>
          <w:color w:val="0070C0"/>
          <w:sz w:val="32"/>
          <w:szCs w:val="32"/>
        </w:rPr>
        <w:t xml:space="preserve"> in a low interest rate environment…</w:t>
      </w:r>
      <w:r w:rsidR="009342E9">
        <w:rPr>
          <w:rFonts w:ascii="Times New Roman" w:hAnsi="Times New Roman" w:cs="Times New Roman"/>
          <w:color w:val="0070C0"/>
          <w:sz w:val="32"/>
          <w:szCs w:val="32"/>
        </w:rPr>
        <w:br/>
      </w:r>
      <w:r w:rsidR="000A496E" w:rsidRPr="000A496E">
        <w:rPr>
          <w:rFonts w:ascii="Times New Roman" w:hAnsi="Times New Roman" w:cs="Times New Roman"/>
          <w:color w:val="C00000"/>
          <w:sz w:val="24"/>
          <w:szCs w:val="24"/>
        </w:rPr>
        <w:t>&lt;taken from new report; “Investing for Income in the Stock Market”&gt;</w:t>
      </w:r>
      <w:r w:rsidR="000A496E">
        <w:rPr>
          <w:rFonts w:ascii="Times New Roman" w:hAnsi="Times New Roman" w:cs="Times New Roman"/>
          <w:color w:val="C00000"/>
          <w:sz w:val="24"/>
          <w:szCs w:val="24"/>
        </w:rPr>
        <w:br/>
      </w:r>
    </w:p>
    <w:p w14:paraId="50FC951C" w14:textId="1A2ED108" w:rsidR="000519E2" w:rsidRPr="00654664" w:rsidRDefault="000519E2" w:rsidP="00381D38">
      <w:pPr>
        <w:ind w:right="630"/>
        <w:rPr>
          <w:rFonts w:ascii="Times New Roman" w:hAnsi="Times New Roman" w:cs="Times New Roman"/>
          <w:color w:val="000000" w:themeColor="text1"/>
          <w:sz w:val="24"/>
          <w:szCs w:val="24"/>
        </w:rPr>
      </w:pPr>
      <w:r w:rsidRPr="00654664">
        <w:rPr>
          <w:rFonts w:ascii="Times New Roman" w:hAnsi="Times New Roman" w:cs="Times New Roman"/>
          <w:sz w:val="24"/>
          <w:szCs w:val="24"/>
        </w:rPr>
        <w:t xml:space="preserve">When people think of Investing for Income, the first thing that might come to mind is investing in non-stock market investments, like bonds. Yes, bonds and bond-like instruments are an important part of investing for income, but there is also a way for those with the willingness and ability to endure some level of stock market risk to enjoy the benefits of earning steady income through dividends. </w:t>
      </w:r>
      <w:r w:rsidR="00E32053">
        <w:rPr>
          <w:rFonts w:ascii="Times New Roman" w:hAnsi="Times New Roman" w:cs="Times New Roman"/>
          <w:sz w:val="24"/>
          <w:szCs w:val="24"/>
        </w:rPr>
        <w:br/>
      </w:r>
      <w:r w:rsidRPr="00654664">
        <w:rPr>
          <w:rFonts w:ascii="Times New Roman" w:hAnsi="Times New Roman" w:cs="Times New Roman"/>
          <w:sz w:val="24"/>
          <w:szCs w:val="24"/>
        </w:rPr>
        <w:br/>
      </w:r>
      <w:r w:rsidRPr="00654664">
        <w:rPr>
          <w:rFonts w:ascii="Times New Roman" w:hAnsi="Times New Roman" w:cs="Times New Roman"/>
          <w:color w:val="000000" w:themeColor="text1"/>
          <w:sz w:val="24"/>
          <w:szCs w:val="24"/>
        </w:rPr>
        <w:t>Keep in mind that stocks are generally considered to be riskier than bonds, because they can cut dividends and/or drop in value. Some financial firms might tell you that they have some proprietary formula, or advanced algorithm, to manage stocks and help protect your downside. Well, these algorithms do not work forever. Eventually they fail to protect the investor.</w:t>
      </w:r>
      <w:r w:rsidRPr="00654664">
        <w:rPr>
          <w:rFonts w:ascii="Times New Roman" w:hAnsi="Times New Roman" w:cs="Times New Roman"/>
          <w:color w:val="000000" w:themeColor="text1"/>
          <w:sz w:val="24"/>
          <w:szCs w:val="24"/>
        </w:rPr>
        <w:br/>
      </w:r>
      <w:r w:rsidRPr="00654664">
        <w:rPr>
          <w:rFonts w:ascii="Times New Roman" w:hAnsi="Times New Roman" w:cs="Times New Roman"/>
          <w:sz w:val="24"/>
          <w:szCs w:val="24"/>
        </w:rPr>
        <w:br/>
      </w:r>
      <w:r w:rsidRPr="00654664">
        <w:rPr>
          <w:rFonts w:ascii="Times New Roman" w:hAnsi="Times New Roman" w:cs="Times New Roman"/>
          <w:color w:val="000000" w:themeColor="text1"/>
          <w:sz w:val="24"/>
          <w:szCs w:val="24"/>
        </w:rPr>
        <w:t xml:space="preserve">However, a dividend-paying value strategy can help to mitigate stock market risk. One reason is because buying “undervalued” stocks, means that they should have somewhat less downside than an “overvalued” stock. The other reason is that the dividend is a “bird in the hand.” </w:t>
      </w:r>
    </w:p>
    <w:p w14:paraId="04F13C60" w14:textId="77777777" w:rsidR="000519E2" w:rsidRPr="00654664" w:rsidRDefault="000519E2" w:rsidP="00381D38">
      <w:pPr>
        <w:ind w:right="630"/>
        <w:rPr>
          <w:rFonts w:ascii="Times New Roman" w:hAnsi="Times New Roman" w:cs="Times New Roman"/>
          <w:color w:val="FF0000"/>
          <w:sz w:val="24"/>
          <w:szCs w:val="24"/>
        </w:rPr>
      </w:pPr>
    </w:p>
    <w:p w14:paraId="35A5E340" w14:textId="77777777" w:rsidR="000519E2" w:rsidRPr="00654664" w:rsidRDefault="000519E2" w:rsidP="00381D38">
      <w:pPr>
        <w:ind w:right="630"/>
        <w:rPr>
          <w:rFonts w:ascii="Times New Roman" w:hAnsi="Times New Roman" w:cs="Times New Roman"/>
          <w:color w:val="000000" w:themeColor="text1"/>
          <w:sz w:val="24"/>
          <w:szCs w:val="24"/>
        </w:rPr>
      </w:pPr>
      <w:r w:rsidRPr="00654664">
        <w:rPr>
          <w:rFonts w:ascii="Times New Roman" w:hAnsi="Times New Roman" w:cs="Times New Roman"/>
          <w:color w:val="000000" w:themeColor="text1"/>
          <w:sz w:val="24"/>
          <w:szCs w:val="24"/>
        </w:rPr>
        <w:t xml:space="preserve">To illustrate the benefits of a bird in the hand strategy, let’s consider two different couples who decide to invest in real estate. The first couple decides to invest in a plot of land—hoping that the value of their land will appreciate by the time they retire so they can sell it for a profit. But, just as they’re about to retire, the real estate market experiences a downturn and the value of their land drops significantly. This couple would most likely feel the pain of this drop in value. </w:t>
      </w:r>
      <w:r w:rsidRPr="00654664">
        <w:rPr>
          <w:rFonts w:ascii="Times New Roman" w:hAnsi="Times New Roman" w:cs="Times New Roman"/>
          <w:color w:val="000000" w:themeColor="text1"/>
          <w:sz w:val="24"/>
          <w:szCs w:val="24"/>
        </w:rPr>
        <w:br/>
      </w:r>
    </w:p>
    <w:p w14:paraId="380BE6D1" w14:textId="77777777" w:rsidR="000519E2" w:rsidRPr="00654664" w:rsidRDefault="000519E2" w:rsidP="00381D38">
      <w:pPr>
        <w:ind w:right="630"/>
        <w:rPr>
          <w:rFonts w:ascii="Times New Roman" w:hAnsi="Times New Roman" w:cs="Times New Roman"/>
          <w:color w:val="000000" w:themeColor="text1"/>
          <w:sz w:val="24"/>
          <w:szCs w:val="24"/>
        </w:rPr>
      </w:pPr>
      <w:r w:rsidRPr="00654664">
        <w:rPr>
          <w:rFonts w:ascii="Times New Roman" w:hAnsi="Times New Roman" w:cs="Times New Roman"/>
          <w:color w:val="000000" w:themeColor="text1"/>
          <w:sz w:val="24"/>
          <w:szCs w:val="24"/>
        </w:rPr>
        <w:t xml:space="preserve">Now, consider the second couple who decides to invest in a rental property instead. Each month this couple </w:t>
      </w:r>
      <w:proofErr w:type="gramStart"/>
      <w:r w:rsidRPr="00654664">
        <w:rPr>
          <w:rFonts w:ascii="Times New Roman" w:hAnsi="Times New Roman" w:cs="Times New Roman"/>
          <w:color w:val="000000" w:themeColor="text1"/>
          <w:sz w:val="24"/>
          <w:szCs w:val="24"/>
        </w:rPr>
        <w:t>is able to</w:t>
      </w:r>
      <w:proofErr w:type="gramEnd"/>
      <w:r w:rsidRPr="00654664">
        <w:rPr>
          <w:rFonts w:ascii="Times New Roman" w:hAnsi="Times New Roman" w:cs="Times New Roman"/>
          <w:color w:val="000000" w:themeColor="text1"/>
          <w:sz w:val="24"/>
          <w:szCs w:val="24"/>
        </w:rPr>
        <w:t xml:space="preserve"> collect rent from their tenant. Because of the steady income coming in, this couple wouldn’t be so concerned about a potential drop in value. The steady income they receive would help to soften the blow of a drop in property value. If they had no intention of selling their property anytime soon, it might not even impact their ability to fund their retirement.</w:t>
      </w:r>
      <w:r w:rsidRPr="00654664">
        <w:rPr>
          <w:rFonts w:ascii="Times New Roman" w:hAnsi="Times New Roman" w:cs="Times New Roman"/>
          <w:color w:val="000000" w:themeColor="text1"/>
          <w:sz w:val="24"/>
          <w:szCs w:val="24"/>
        </w:rPr>
        <w:br/>
      </w:r>
    </w:p>
    <w:p w14:paraId="3BA2AE3A" w14:textId="076A7E54" w:rsidR="000519E2" w:rsidRPr="00654664" w:rsidRDefault="000519E2" w:rsidP="00381D38">
      <w:pPr>
        <w:ind w:right="630"/>
        <w:rPr>
          <w:rFonts w:ascii="Times New Roman" w:hAnsi="Times New Roman" w:cs="Times New Roman"/>
          <w:color w:val="000000" w:themeColor="text1"/>
          <w:sz w:val="24"/>
          <w:szCs w:val="24"/>
        </w:rPr>
      </w:pPr>
      <w:r w:rsidRPr="00654664">
        <w:rPr>
          <w:rFonts w:ascii="Times New Roman" w:hAnsi="Times New Roman" w:cs="Times New Roman"/>
          <w:color w:val="000000" w:themeColor="text1"/>
          <w:sz w:val="24"/>
          <w:szCs w:val="24"/>
        </w:rPr>
        <w:t xml:space="preserve">It’s similar when investing in dividend paying value stocks. If you’re retired when the market experiences a downturn, but the dividends satisfy your income needs, you can hold the stock and wait for it to come back, essentially giving you staying power. Alternatively, if you </w:t>
      </w:r>
      <w:proofErr w:type="gramStart"/>
      <w:r w:rsidRPr="00654664">
        <w:rPr>
          <w:rFonts w:ascii="Times New Roman" w:hAnsi="Times New Roman" w:cs="Times New Roman"/>
          <w:color w:val="000000" w:themeColor="text1"/>
          <w:sz w:val="24"/>
          <w:szCs w:val="24"/>
        </w:rPr>
        <w:t>don’t</w:t>
      </w:r>
      <w:proofErr w:type="gramEnd"/>
      <w:r w:rsidRPr="00654664">
        <w:rPr>
          <w:rFonts w:ascii="Times New Roman" w:hAnsi="Times New Roman" w:cs="Times New Roman"/>
          <w:color w:val="000000" w:themeColor="text1"/>
          <w:sz w:val="24"/>
          <w:szCs w:val="24"/>
        </w:rPr>
        <w:t xml:space="preserve"> need the income at the time, you can reinvest those dividends a</w:t>
      </w:r>
      <w:r w:rsidR="00DC2911">
        <w:rPr>
          <w:rFonts w:ascii="Times New Roman" w:hAnsi="Times New Roman" w:cs="Times New Roman"/>
          <w:color w:val="000000" w:themeColor="text1"/>
          <w:sz w:val="24"/>
          <w:szCs w:val="24"/>
        </w:rPr>
        <w:t xml:space="preserve">t </w:t>
      </w:r>
      <w:r w:rsidRPr="00654664">
        <w:rPr>
          <w:rFonts w:ascii="Times New Roman" w:hAnsi="Times New Roman" w:cs="Times New Roman"/>
          <w:color w:val="000000" w:themeColor="text1"/>
          <w:sz w:val="24"/>
          <w:szCs w:val="24"/>
        </w:rPr>
        <w:t xml:space="preserve">essentially dollar cost average. We call it growing your money the old-fashioned way. </w:t>
      </w:r>
    </w:p>
    <w:p w14:paraId="6B02B9CA" w14:textId="77777777" w:rsidR="000519E2" w:rsidRPr="00654664" w:rsidRDefault="000519E2" w:rsidP="00381D38">
      <w:pPr>
        <w:ind w:right="630"/>
        <w:rPr>
          <w:rFonts w:ascii="Times New Roman" w:hAnsi="Times New Roman" w:cs="Times New Roman"/>
          <w:color w:val="FF0000"/>
          <w:sz w:val="24"/>
          <w:szCs w:val="24"/>
        </w:rPr>
      </w:pPr>
    </w:p>
    <w:p w14:paraId="629E689A" w14:textId="77777777" w:rsidR="000519E2" w:rsidRPr="00654664" w:rsidRDefault="000519E2" w:rsidP="00381D38">
      <w:pPr>
        <w:ind w:right="630"/>
        <w:rPr>
          <w:rFonts w:ascii="Times New Roman" w:hAnsi="Times New Roman" w:cs="Times New Roman"/>
          <w:color w:val="000000" w:themeColor="text1"/>
          <w:sz w:val="24"/>
          <w:szCs w:val="24"/>
        </w:rPr>
      </w:pPr>
      <w:r w:rsidRPr="00654664">
        <w:rPr>
          <w:rFonts w:ascii="Times New Roman" w:hAnsi="Times New Roman" w:cs="Times New Roman"/>
          <w:color w:val="000000" w:themeColor="text1"/>
          <w:sz w:val="24"/>
          <w:szCs w:val="24"/>
        </w:rPr>
        <w:t xml:space="preserve">Additionally, stock dividends have preferential tax treatment. And, since the </w:t>
      </w:r>
      <w:proofErr w:type="gramStart"/>
      <w:r w:rsidRPr="00654664">
        <w:rPr>
          <w:rFonts w:ascii="Times New Roman" w:hAnsi="Times New Roman" w:cs="Times New Roman"/>
          <w:color w:val="000000" w:themeColor="text1"/>
          <w:sz w:val="24"/>
          <w:szCs w:val="24"/>
        </w:rPr>
        <w:t>dividends</w:t>
      </w:r>
      <w:proofErr w:type="gramEnd"/>
      <w:r w:rsidRPr="00654664">
        <w:rPr>
          <w:rFonts w:ascii="Times New Roman" w:hAnsi="Times New Roman" w:cs="Times New Roman"/>
          <w:color w:val="000000" w:themeColor="text1"/>
          <w:sz w:val="24"/>
          <w:szCs w:val="24"/>
        </w:rPr>
        <w:t xml:space="preserve"> these types of stocks pay can increase, they can also offer a potential hedge against inflation. </w:t>
      </w:r>
      <w:proofErr w:type="gramStart"/>
      <w:r w:rsidRPr="00654664">
        <w:rPr>
          <w:rFonts w:ascii="Times New Roman" w:hAnsi="Times New Roman" w:cs="Times New Roman"/>
          <w:color w:val="000000" w:themeColor="text1"/>
          <w:sz w:val="24"/>
          <w:szCs w:val="24"/>
        </w:rPr>
        <w:t>This is why</w:t>
      </w:r>
      <w:proofErr w:type="gramEnd"/>
      <w:r w:rsidRPr="00654664">
        <w:rPr>
          <w:rFonts w:ascii="Times New Roman" w:hAnsi="Times New Roman" w:cs="Times New Roman"/>
          <w:color w:val="000000" w:themeColor="text1"/>
          <w:sz w:val="24"/>
          <w:szCs w:val="24"/>
        </w:rPr>
        <w:t xml:space="preserve"> many believe that a dividend paying value strategy can be ideal for retirees, and those within 10 years of retirement, who can still tolerate some investment risk.</w:t>
      </w:r>
    </w:p>
    <w:p w14:paraId="6D0218F9" w14:textId="27629A61" w:rsidR="008E3366" w:rsidRPr="00DF6F84" w:rsidRDefault="000519E2" w:rsidP="00381D38">
      <w:pPr>
        <w:ind w:right="630"/>
        <w:rPr>
          <w:rFonts w:ascii="Times New Roman" w:hAnsi="Times New Roman" w:cs="Times New Roman"/>
          <w:color w:val="0070C0"/>
          <w:sz w:val="24"/>
          <w:szCs w:val="24"/>
        </w:rPr>
      </w:pPr>
      <w:r w:rsidRPr="00654664">
        <w:rPr>
          <w:rFonts w:ascii="Times New Roman" w:hAnsi="Times New Roman" w:cs="Times New Roman"/>
          <w:sz w:val="24"/>
          <w:szCs w:val="24"/>
        </w:rPr>
        <w:br/>
        <w:t xml:space="preserve">If you would like to learn more </w:t>
      </w:r>
      <w:r w:rsidR="00E03005" w:rsidRPr="00654664">
        <w:rPr>
          <w:rFonts w:ascii="Times New Roman" w:hAnsi="Times New Roman" w:cs="Times New Roman"/>
          <w:sz w:val="24"/>
          <w:szCs w:val="24"/>
        </w:rPr>
        <w:t xml:space="preserve">so you can determine </w:t>
      </w:r>
      <w:r w:rsidRPr="00654664">
        <w:rPr>
          <w:rFonts w:ascii="Times New Roman" w:hAnsi="Times New Roman" w:cs="Times New Roman"/>
          <w:sz w:val="24"/>
          <w:szCs w:val="24"/>
        </w:rPr>
        <w:t xml:space="preserve">if </w:t>
      </w:r>
      <w:r w:rsidR="00E03005" w:rsidRPr="00654664">
        <w:rPr>
          <w:rFonts w:ascii="Times New Roman" w:hAnsi="Times New Roman" w:cs="Times New Roman"/>
          <w:sz w:val="24"/>
          <w:szCs w:val="24"/>
        </w:rPr>
        <w:t>a</w:t>
      </w:r>
      <w:r w:rsidRPr="00654664">
        <w:rPr>
          <w:rFonts w:ascii="Times New Roman" w:hAnsi="Times New Roman" w:cs="Times New Roman"/>
          <w:sz w:val="24"/>
          <w:szCs w:val="24"/>
        </w:rPr>
        <w:t xml:space="preserve"> dividend paying </w:t>
      </w:r>
      <w:r w:rsidR="00E03005" w:rsidRPr="00654664">
        <w:rPr>
          <w:rFonts w:ascii="Times New Roman" w:hAnsi="Times New Roman" w:cs="Times New Roman"/>
          <w:sz w:val="24"/>
          <w:szCs w:val="24"/>
        </w:rPr>
        <w:t>value strategy m</w:t>
      </w:r>
      <w:r w:rsidRPr="00654664">
        <w:rPr>
          <w:rFonts w:ascii="Times New Roman" w:hAnsi="Times New Roman" w:cs="Times New Roman"/>
          <w:sz w:val="24"/>
          <w:szCs w:val="24"/>
        </w:rPr>
        <w:t xml:space="preserve">akes sense for your situation, please make sure to schedule your </w:t>
      </w:r>
      <w:r w:rsidR="00C932ED" w:rsidRPr="00654664">
        <w:rPr>
          <w:rFonts w:ascii="Times New Roman" w:hAnsi="Times New Roman" w:cs="Times New Roman"/>
          <w:sz w:val="24"/>
          <w:szCs w:val="24"/>
        </w:rPr>
        <w:t>compl</w:t>
      </w:r>
      <w:r w:rsidR="00DC2911">
        <w:rPr>
          <w:rFonts w:ascii="Times New Roman" w:hAnsi="Times New Roman" w:cs="Times New Roman"/>
          <w:sz w:val="24"/>
          <w:szCs w:val="24"/>
        </w:rPr>
        <w:t>i</w:t>
      </w:r>
      <w:r w:rsidR="00C932ED" w:rsidRPr="00654664">
        <w:rPr>
          <w:rFonts w:ascii="Times New Roman" w:hAnsi="Times New Roman" w:cs="Times New Roman"/>
          <w:sz w:val="24"/>
          <w:szCs w:val="24"/>
        </w:rPr>
        <w:t xml:space="preserve">mentary </w:t>
      </w:r>
      <w:r w:rsidRPr="00654664">
        <w:rPr>
          <w:rFonts w:ascii="Times New Roman" w:hAnsi="Times New Roman" w:cs="Times New Roman"/>
          <w:sz w:val="24"/>
          <w:szCs w:val="24"/>
        </w:rPr>
        <w:t>call with me before signing off of today’s meeting.</w:t>
      </w:r>
      <w:r w:rsidR="002A1C75" w:rsidRPr="00DF6F84">
        <w:rPr>
          <w:rFonts w:ascii="Times New Roman" w:hAnsi="Times New Roman" w:cs="Times New Roman"/>
          <w:sz w:val="24"/>
          <w:szCs w:val="24"/>
        </w:rPr>
        <w:br/>
      </w:r>
      <w:r w:rsidR="002A1C75" w:rsidRPr="00DF6F84">
        <w:rPr>
          <w:rFonts w:ascii="Times New Roman" w:hAnsi="Times New Roman" w:cs="Times New Roman"/>
          <w:color w:val="002060"/>
          <w:sz w:val="24"/>
          <w:szCs w:val="24"/>
        </w:rPr>
        <w:br/>
      </w:r>
      <w:r w:rsidR="002A1C75" w:rsidRPr="00DF6F84">
        <w:rPr>
          <w:rFonts w:ascii="Times New Roman" w:hAnsi="Times New Roman" w:cs="Times New Roman"/>
          <w:color w:val="0070C0"/>
          <w:sz w:val="24"/>
          <w:szCs w:val="24"/>
        </w:rPr>
        <w:t xml:space="preserve">How </w:t>
      </w:r>
      <w:r w:rsidR="002A1C75" w:rsidRPr="00DF6F84">
        <w:rPr>
          <w:rFonts w:ascii="Times New Roman" w:hAnsi="Times New Roman" w:cs="Times New Roman"/>
          <w:b/>
          <w:bCs/>
          <w:color w:val="0070C0"/>
          <w:sz w:val="24"/>
          <w:szCs w:val="24"/>
        </w:rPr>
        <w:t>Increased Corporate Taxes</w:t>
      </w:r>
      <w:r w:rsidR="002A1C75" w:rsidRPr="00DF6F84">
        <w:rPr>
          <w:rFonts w:ascii="Times New Roman" w:hAnsi="Times New Roman" w:cs="Times New Roman"/>
          <w:color w:val="0070C0"/>
          <w:sz w:val="24"/>
          <w:szCs w:val="24"/>
        </w:rPr>
        <w:t xml:space="preserve"> </w:t>
      </w:r>
      <w:r w:rsidR="00C04ACA" w:rsidRPr="00DF6F84">
        <w:rPr>
          <w:rFonts w:ascii="Times New Roman" w:hAnsi="Times New Roman" w:cs="Times New Roman"/>
          <w:color w:val="0070C0"/>
          <w:sz w:val="24"/>
          <w:szCs w:val="24"/>
        </w:rPr>
        <w:t xml:space="preserve">Could Impact </w:t>
      </w:r>
      <w:proofErr w:type="gramStart"/>
      <w:r w:rsidR="00C04ACA" w:rsidRPr="00DF6F84">
        <w:rPr>
          <w:rFonts w:ascii="Times New Roman" w:hAnsi="Times New Roman" w:cs="Times New Roman"/>
          <w:color w:val="0070C0"/>
          <w:sz w:val="24"/>
          <w:szCs w:val="24"/>
        </w:rPr>
        <w:t>The</w:t>
      </w:r>
      <w:proofErr w:type="gramEnd"/>
      <w:r w:rsidR="00C04ACA" w:rsidRPr="00DF6F84">
        <w:rPr>
          <w:rFonts w:ascii="Times New Roman" w:hAnsi="Times New Roman" w:cs="Times New Roman"/>
          <w:color w:val="0070C0"/>
          <w:sz w:val="24"/>
          <w:szCs w:val="24"/>
        </w:rPr>
        <w:t xml:space="preserve"> Market…</w:t>
      </w:r>
    </w:p>
    <w:p w14:paraId="7E063496" w14:textId="77777777" w:rsidR="008E3366" w:rsidRPr="00DF6F84" w:rsidRDefault="008E3366" w:rsidP="00381D38">
      <w:pPr>
        <w:ind w:right="630"/>
        <w:rPr>
          <w:rFonts w:ascii="Times New Roman" w:hAnsi="Times New Roman" w:cs="Times New Roman"/>
          <w:color w:val="0070C0"/>
          <w:sz w:val="24"/>
          <w:szCs w:val="24"/>
        </w:rPr>
      </w:pPr>
    </w:p>
    <w:p w14:paraId="18FFE2B0" w14:textId="77777777" w:rsidR="00D5046B" w:rsidRDefault="008E3366" w:rsidP="00381D38">
      <w:pPr>
        <w:ind w:right="630"/>
        <w:rPr>
          <w:rFonts w:ascii="Times New Roman" w:hAnsi="Times New Roman" w:cs="Times New Roman"/>
          <w:sz w:val="24"/>
          <w:szCs w:val="24"/>
        </w:rPr>
      </w:pPr>
      <w:r w:rsidRPr="00DF6F84">
        <w:rPr>
          <w:rFonts w:ascii="Times New Roman" w:hAnsi="Times New Roman" w:cs="Times New Roman"/>
          <w:sz w:val="24"/>
          <w:szCs w:val="24"/>
        </w:rPr>
        <w:t xml:space="preserve">Ahead of the election, many analysts believed that if Joe Biden would win the presidential election, and Democrats would gain control of congress, it could mean a likely sell off for the stock market—since Biden would likely look to reduce or repeal the corporate tax cuts put into place by President Trump. </w:t>
      </w:r>
      <w:r w:rsidR="00D5046B">
        <w:rPr>
          <w:rFonts w:ascii="Times New Roman" w:hAnsi="Times New Roman" w:cs="Times New Roman"/>
          <w:sz w:val="24"/>
          <w:szCs w:val="24"/>
        </w:rPr>
        <w:br/>
      </w:r>
    </w:p>
    <w:p w14:paraId="79D90D08" w14:textId="0CC941E6" w:rsidR="00942838" w:rsidRPr="00DF6F84" w:rsidRDefault="00D5046B" w:rsidP="00381D38">
      <w:pPr>
        <w:ind w:right="630"/>
        <w:rPr>
          <w:rFonts w:ascii="Times New Roman" w:hAnsi="Times New Roman" w:cs="Times New Roman"/>
          <w:sz w:val="24"/>
          <w:szCs w:val="24"/>
        </w:rPr>
      </w:pPr>
      <w:r>
        <w:rPr>
          <w:rFonts w:ascii="Times New Roman" w:hAnsi="Times New Roman" w:cs="Times New Roman"/>
          <w:sz w:val="24"/>
          <w:szCs w:val="24"/>
        </w:rPr>
        <w:t xml:space="preserve">The reasoning behind this is that if corporate taxes are raised, that </w:t>
      </w:r>
      <w:r w:rsidR="007E3E0E">
        <w:rPr>
          <w:rFonts w:ascii="Times New Roman" w:hAnsi="Times New Roman" w:cs="Times New Roman"/>
          <w:sz w:val="24"/>
          <w:szCs w:val="24"/>
        </w:rPr>
        <w:t xml:space="preserve">could </w:t>
      </w:r>
      <w:r>
        <w:rPr>
          <w:rFonts w:ascii="Times New Roman" w:hAnsi="Times New Roman" w:cs="Times New Roman"/>
          <w:sz w:val="24"/>
          <w:szCs w:val="24"/>
        </w:rPr>
        <w:t>impact the</w:t>
      </w:r>
      <w:r w:rsidR="007E3E0E">
        <w:rPr>
          <w:rFonts w:ascii="Times New Roman" w:hAnsi="Times New Roman" w:cs="Times New Roman"/>
          <w:sz w:val="24"/>
          <w:szCs w:val="24"/>
        </w:rPr>
        <w:t xml:space="preserve"> profitability, or </w:t>
      </w:r>
      <w:r>
        <w:rPr>
          <w:rFonts w:ascii="Times New Roman" w:hAnsi="Times New Roman" w:cs="Times New Roman"/>
          <w:sz w:val="24"/>
          <w:szCs w:val="24"/>
        </w:rPr>
        <w:t>bottom line</w:t>
      </w:r>
      <w:r w:rsidR="007E3E0E">
        <w:rPr>
          <w:rFonts w:ascii="Times New Roman" w:hAnsi="Times New Roman" w:cs="Times New Roman"/>
          <w:sz w:val="24"/>
          <w:szCs w:val="24"/>
        </w:rPr>
        <w:t xml:space="preserve">, for </w:t>
      </w:r>
      <w:r>
        <w:rPr>
          <w:rFonts w:ascii="Times New Roman" w:hAnsi="Times New Roman" w:cs="Times New Roman"/>
          <w:sz w:val="24"/>
          <w:szCs w:val="24"/>
        </w:rPr>
        <w:t>many of these companies, which in turn could impact</w:t>
      </w:r>
      <w:r w:rsidR="007E3E0E">
        <w:rPr>
          <w:rFonts w:ascii="Times New Roman" w:hAnsi="Times New Roman" w:cs="Times New Roman"/>
          <w:sz w:val="24"/>
          <w:szCs w:val="24"/>
        </w:rPr>
        <w:t xml:space="preserve"> their </w:t>
      </w:r>
      <w:r>
        <w:rPr>
          <w:rFonts w:ascii="Times New Roman" w:hAnsi="Times New Roman" w:cs="Times New Roman"/>
          <w:sz w:val="24"/>
          <w:szCs w:val="24"/>
        </w:rPr>
        <w:t xml:space="preserve">stock price. </w:t>
      </w:r>
      <w:r w:rsidR="00942838" w:rsidRPr="00DF6F84">
        <w:rPr>
          <w:rFonts w:ascii="Times New Roman" w:hAnsi="Times New Roman" w:cs="Times New Roman"/>
          <w:sz w:val="24"/>
          <w:szCs w:val="24"/>
        </w:rPr>
        <w:br/>
      </w:r>
      <w:r w:rsidR="00942838" w:rsidRPr="00DF6F84">
        <w:rPr>
          <w:rFonts w:ascii="Times New Roman" w:hAnsi="Times New Roman" w:cs="Times New Roman"/>
          <w:sz w:val="24"/>
          <w:szCs w:val="24"/>
        </w:rPr>
        <w:br/>
      </w:r>
      <w:r w:rsidR="008E3366" w:rsidRPr="00DF6F84">
        <w:rPr>
          <w:rFonts w:ascii="Times New Roman" w:hAnsi="Times New Roman" w:cs="Times New Roman"/>
          <w:sz w:val="24"/>
          <w:szCs w:val="24"/>
        </w:rPr>
        <w:t>However, as we mentioned previously</w:t>
      </w:r>
      <w:r w:rsidR="00DC2911">
        <w:rPr>
          <w:rFonts w:ascii="Times New Roman" w:hAnsi="Times New Roman" w:cs="Times New Roman"/>
          <w:sz w:val="24"/>
          <w:szCs w:val="24"/>
        </w:rPr>
        <w:t>,</w:t>
      </w:r>
      <w:r w:rsidR="008E3366" w:rsidRPr="00DF6F84">
        <w:rPr>
          <w:rFonts w:ascii="Times New Roman" w:hAnsi="Times New Roman" w:cs="Times New Roman"/>
          <w:sz w:val="24"/>
          <w:szCs w:val="24"/>
        </w:rPr>
        <w:t xml:space="preserve"> it does not look like </w:t>
      </w:r>
      <w:r w:rsidR="00942838" w:rsidRPr="00DF6F84">
        <w:rPr>
          <w:rFonts w:ascii="Times New Roman" w:hAnsi="Times New Roman" w:cs="Times New Roman"/>
          <w:sz w:val="24"/>
          <w:szCs w:val="24"/>
        </w:rPr>
        <w:t xml:space="preserve">Democrats will gain sweeping control of congress. If they do manage to gain an edge after the runoff in Georgia, it will be a </w:t>
      </w:r>
      <w:r w:rsidR="00654664">
        <w:rPr>
          <w:rFonts w:ascii="Times New Roman" w:hAnsi="Times New Roman" w:cs="Times New Roman"/>
          <w:sz w:val="24"/>
          <w:szCs w:val="24"/>
        </w:rPr>
        <w:t xml:space="preserve">slim </w:t>
      </w:r>
      <w:r w:rsidR="00942838" w:rsidRPr="00DF6F84">
        <w:rPr>
          <w:rFonts w:ascii="Times New Roman" w:hAnsi="Times New Roman" w:cs="Times New Roman"/>
          <w:sz w:val="24"/>
          <w:szCs w:val="24"/>
        </w:rPr>
        <w:t xml:space="preserve">advantage. And if that were to happen, President-elect Biden and democrats would more likely be focused on first approving the second round of coronavirus relief </w:t>
      </w:r>
      <w:r w:rsidR="00942838" w:rsidRPr="00DF6F84">
        <w:rPr>
          <w:rFonts w:ascii="Times New Roman" w:hAnsi="Times New Roman" w:cs="Times New Roman"/>
          <w:sz w:val="24"/>
          <w:szCs w:val="24"/>
        </w:rPr>
        <w:lastRenderedPageBreak/>
        <w:t xml:space="preserve">that’s been used as a political pawn by both parties since August. Odds are investors would celebrate that move, and that could help lessen the severity of any potential market dip.  </w:t>
      </w:r>
      <w:r w:rsidR="00942838" w:rsidRPr="00DF6F84">
        <w:rPr>
          <w:rFonts w:ascii="Times New Roman" w:hAnsi="Times New Roman" w:cs="Times New Roman"/>
          <w:sz w:val="24"/>
          <w:szCs w:val="24"/>
        </w:rPr>
        <w:br/>
      </w:r>
    </w:p>
    <w:p w14:paraId="656689CB" w14:textId="25CF33B7" w:rsidR="002A1C75" w:rsidRPr="00DF6F84" w:rsidRDefault="00241B10" w:rsidP="00381D38">
      <w:pPr>
        <w:ind w:right="630"/>
        <w:rPr>
          <w:rFonts w:ascii="Times New Roman" w:hAnsi="Times New Roman" w:cs="Times New Roman"/>
          <w:color w:val="002060"/>
          <w:sz w:val="24"/>
          <w:szCs w:val="24"/>
        </w:rPr>
      </w:pPr>
      <w:r>
        <w:rPr>
          <w:rFonts w:ascii="Times New Roman" w:hAnsi="Times New Roman" w:cs="Times New Roman"/>
          <w:sz w:val="24"/>
          <w:szCs w:val="24"/>
        </w:rPr>
        <w:t xml:space="preserve">Depending on the outcome of the runoff election in Georgia, it is possible that </w:t>
      </w:r>
      <w:r w:rsidR="00942838" w:rsidRPr="00DF6F84">
        <w:rPr>
          <w:rFonts w:ascii="Times New Roman" w:hAnsi="Times New Roman" w:cs="Times New Roman"/>
          <w:sz w:val="24"/>
          <w:szCs w:val="24"/>
        </w:rPr>
        <w:t xml:space="preserve">congressional power could remain split. </w:t>
      </w:r>
      <w:r>
        <w:rPr>
          <w:rFonts w:ascii="Times New Roman" w:hAnsi="Times New Roman" w:cs="Times New Roman"/>
          <w:sz w:val="24"/>
          <w:szCs w:val="24"/>
        </w:rPr>
        <w:t>And as I mentioned, h</w:t>
      </w:r>
      <w:r w:rsidR="00942838" w:rsidRPr="00DF6F84">
        <w:rPr>
          <w:rFonts w:ascii="Times New Roman" w:hAnsi="Times New Roman" w:cs="Times New Roman"/>
          <w:sz w:val="24"/>
          <w:szCs w:val="24"/>
        </w:rPr>
        <w:t>istory shows that the markets, in general, do better with a divided government</w:t>
      </w:r>
      <w:r>
        <w:rPr>
          <w:rFonts w:ascii="Times New Roman" w:hAnsi="Times New Roman" w:cs="Times New Roman"/>
          <w:sz w:val="24"/>
          <w:szCs w:val="24"/>
        </w:rPr>
        <w:t xml:space="preserve"> and </w:t>
      </w:r>
      <w:r w:rsidR="00942838" w:rsidRPr="00DF6F84">
        <w:rPr>
          <w:rFonts w:ascii="Times New Roman" w:hAnsi="Times New Roman" w:cs="Times New Roman"/>
          <w:sz w:val="24"/>
          <w:szCs w:val="24"/>
        </w:rPr>
        <w:t xml:space="preserve">some analysts feel it would be a best-case scenario because it offers </w:t>
      </w:r>
      <w:r w:rsidR="00942838" w:rsidRPr="00DF6F84">
        <w:rPr>
          <w:rFonts w:ascii="Times New Roman" w:hAnsi="Times New Roman" w:cs="Times New Roman"/>
          <w:sz w:val="24"/>
          <w:szCs w:val="24"/>
          <w:u w:val="single"/>
        </w:rPr>
        <w:t>some</w:t>
      </w:r>
      <w:r w:rsidR="00942838" w:rsidRPr="00DF6F84">
        <w:rPr>
          <w:rFonts w:ascii="Times New Roman" w:hAnsi="Times New Roman" w:cs="Times New Roman"/>
          <w:sz w:val="24"/>
          <w:szCs w:val="24"/>
        </w:rPr>
        <w:t xml:space="preserve"> level of stability plus the potential for more progress in addressing the covid-19 crisis.</w:t>
      </w:r>
      <w:r w:rsidR="002A1C75" w:rsidRPr="00DF6F84">
        <w:rPr>
          <w:rFonts w:ascii="Times New Roman" w:hAnsi="Times New Roman" w:cs="Times New Roman"/>
          <w:color w:val="0070C0"/>
          <w:sz w:val="24"/>
          <w:szCs w:val="24"/>
        </w:rPr>
        <w:br/>
      </w:r>
      <w:r w:rsidR="002A1C75" w:rsidRPr="00DF6F84">
        <w:rPr>
          <w:rFonts w:ascii="Times New Roman" w:hAnsi="Times New Roman" w:cs="Times New Roman"/>
          <w:color w:val="002060"/>
          <w:sz w:val="24"/>
          <w:szCs w:val="24"/>
        </w:rPr>
        <w:br/>
      </w:r>
      <w:r w:rsidR="002A1C75" w:rsidRPr="005C77DC">
        <w:rPr>
          <w:rFonts w:ascii="Times New Roman" w:hAnsi="Times New Roman" w:cs="Times New Roman"/>
          <w:b/>
          <w:bCs/>
          <w:color w:val="0070C0"/>
          <w:sz w:val="24"/>
          <w:szCs w:val="24"/>
        </w:rPr>
        <w:t xml:space="preserve">Strategies for </w:t>
      </w:r>
      <w:r w:rsidR="005C77DC" w:rsidRPr="005C77DC">
        <w:rPr>
          <w:rFonts w:ascii="Times New Roman" w:hAnsi="Times New Roman" w:cs="Times New Roman"/>
          <w:b/>
          <w:bCs/>
          <w:color w:val="0070C0"/>
          <w:sz w:val="24"/>
          <w:szCs w:val="24"/>
        </w:rPr>
        <w:t xml:space="preserve">Dealing with New </w:t>
      </w:r>
      <w:r w:rsidR="002A1C75" w:rsidRPr="005C77DC">
        <w:rPr>
          <w:rFonts w:ascii="Times New Roman" w:hAnsi="Times New Roman" w:cs="Times New Roman"/>
          <w:b/>
          <w:bCs/>
          <w:color w:val="0070C0"/>
          <w:sz w:val="24"/>
          <w:szCs w:val="24"/>
        </w:rPr>
        <w:t>Capital Gains Tax Rates…</w:t>
      </w:r>
    </w:p>
    <w:p w14:paraId="486F9C0A" w14:textId="71386232" w:rsidR="006F253F" w:rsidRPr="00780D84" w:rsidRDefault="00215F0E" w:rsidP="00381D38">
      <w:pPr>
        <w:pStyle w:val="ListParagraph"/>
        <w:ind w:left="0" w:right="630"/>
        <w:rPr>
          <w:rFonts w:ascii="Times New Roman" w:hAnsi="Times New Roman" w:cs="Times New Roman"/>
          <w:iCs/>
          <w:sz w:val="24"/>
          <w:szCs w:val="24"/>
          <w:vertAlign w:val="superscript"/>
        </w:rPr>
      </w:pPr>
      <w:r w:rsidRPr="00DF6F84">
        <w:rPr>
          <w:rFonts w:ascii="Times New Roman" w:hAnsi="Times New Roman" w:cs="Times New Roman"/>
          <w:iCs/>
          <w:sz w:val="24"/>
          <w:szCs w:val="24"/>
        </w:rPr>
        <w:br/>
        <w:t xml:space="preserve">If you’ve made money on an investment, you’ve earned a capital gain, </w:t>
      </w:r>
      <w:r w:rsidR="00241B10">
        <w:rPr>
          <w:rFonts w:ascii="Times New Roman" w:hAnsi="Times New Roman" w:cs="Times New Roman"/>
          <w:iCs/>
          <w:sz w:val="24"/>
          <w:szCs w:val="24"/>
        </w:rPr>
        <w:t xml:space="preserve">which means </w:t>
      </w:r>
      <w:r w:rsidRPr="00DF6F84">
        <w:rPr>
          <w:rFonts w:ascii="Times New Roman" w:hAnsi="Times New Roman" w:cs="Times New Roman"/>
          <w:iCs/>
          <w:sz w:val="24"/>
          <w:szCs w:val="24"/>
        </w:rPr>
        <w:t xml:space="preserve">that you will owe taxes on it. How much you will owe depends on how long you held that investments. </w:t>
      </w:r>
      <w:r w:rsidRPr="00DF6F84">
        <w:rPr>
          <w:rFonts w:ascii="Times New Roman" w:hAnsi="Times New Roman" w:cs="Times New Roman"/>
          <w:iCs/>
          <w:sz w:val="24"/>
          <w:szCs w:val="24"/>
        </w:rPr>
        <w:br/>
      </w:r>
      <w:r w:rsidRPr="00DF6F84">
        <w:rPr>
          <w:rFonts w:ascii="Times New Roman" w:hAnsi="Times New Roman" w:cs="Times New Roman"/>
          <w:iCs/>
          <w:sz w:val="24"/>
          <w:szCs w:val="24"/>
        </w:rPr>
        <w:br/>
        <w:t xml:space="preserve">If you held that asset for more than a year, then it is considered a </w:t>
      </w:r>
      <w:r w:rsidRPr="00241B10">
        <w:rPr>
          <w:rFonts w:ascii="Times New Roman" w:hAnsi="Times New Roman" w:cs="Times New Roman"/>
          <w:i/>
          <w:sz w:val="24"/>
          <w:szCs w:val="24"/>
        </w:rPr>
        <w:t>long-term capital gain</w:t>
      </w:r>
      <w:r w:rsidRPr="00DF6F84">
        <w:rPr>
          <w:rFonts w:ascii="Times New Roman" w:hAnsi="Times New Roman" w:cs="Times New Roman"/>
          <w:iCs/>
          <w:sz w:val="24"/>
          <w:szCs w:val="24"/>
        </w:rPr>
        <w:t>. That means you will either owe zero percent, fifteen percent, or twenty percent—depending on how much overall income you have.</w:t>
      </w:r>
      <w:r w:rsidRPr="00DF6F84">
        <w:rPr>
          <w:rFonts w:ascii="Times New Roman" w:hAnsi="Times New Roman" w:cs="Times New Roman"/>
          <w:iCs/>
          <w:sz w:val="24"/>
          <w:szCs w:val="24"/>
        </w:rPr>
        <w:br/>
      </w:r>
      <w:r w:rsidRPr="00DF6F84">
        <w:rPr>
          <w:rFonts w:ascii="Times New Roman" w:hAnsi="Times New Roman" w:cs="Times New Roman"/>
          <w:iCs/>
          <w:sz w:val="24"/>
          <w:szCs w:val="24"/>
        </w:rPr>
        <w:br/>
        <w:t xml:space="preserve">If you held that investment for less than a year, then it is considered a </w:t>
      </w:r>
      <w:r w:rsidRPr="00241B10">
        <w:rPr>
          <w:rFonts w:ascii="Times New Roman" w:hAnsi="Times New Roman" w:cs="Times New Roman"/>
          <w:i/>
          <w:sz w:val="24"/>
          <w:szCs w:val="24"/>
        </w:rPr>
        <w:t>short term capital gain</w:t>
      </w:r>
      <w:r w:rsidRPr="00DF6F84">
        <w:rPr>
          <w:rFonts w:ascii="Times New Roman" w:hAnsi="Times New Roman" w:cs="Times New Roman"/>
          <w:iCs/>
          <w:sz w:val="24"/>
          <w:szCs w:val="24"/>
        </w:rPr>
        <w:t xml:space="preserve"> and those gains will be taxed as ordinary income meaning you will be taxed according to where your income falls in the federal tax brackets.</w:t>
      </w:r>
      <w:r w:rsidR="00425A9F">
        <w:rPr>
          <w:rFonts w:ascii="Times New Roman" w:hAnsi="Times New Roman" w:cs="Times New Roman"/>
          <w:iCs/>
          <w:sz w:val="24"/>
          <w:szCs w:val="24"/>
          <w:vertAlign w:val="superscript"/>
        </w:rPr>
        <w:t>2</w:t>
      </w:r>
      <w:r w:rsidR="006F253F" w:rsidRPr="00DF6F84">
        <w:rPr>
          <w:rFonts w:ascii="Times New Roman" w:hAnsi="Times New Roman" w:cs="Times New Roman"/>
          <w:iCs/>
          <w:sz w:val="24"/>
          <w:szCs w:val="24"/>
        </w:rPr>
        <w:br/>
      </w:r>
      <w:r w:rsidR="006F253F" w:rsidRPr="00DF6F84">
        <w:rPr>
          <w:rFonts w:ascii="Times New Roman" w:hAnsi="Times New Roman" w:cs="Times New Roman"/>
          <w:iCs/>
          <w:sz w:val="24"/>
          <w:szCs w:val="24"/>
        </w:rPr>
        <w:br/>
        <w:t>Although the capital gains tax rates remained the same as before under the Tax Cuts and Jobs Act of 2017, the income required to qualify for each bracket goes up each year to account for workers’ increasing incomes. Here are the capital gains rates for 2020 and 2021:</w:t>
      </w:r>
      <w:r w:rsidR="006F253F" w:rsidRPr="00DF6F84">
        <w:rPr>
          <w:rFonts w:ascii="Times New Roman" w:hAnsi="Times New Roman" w:cs="Times New Roman"/>
          <w:iCs/>
          <w:sz w:val="24"/>
          <w:szCs w:val="24"/>
        </w:rPr>
        <w:br/>
      </w:r>
    </w:p>
    <w:p w14:paraId="638251D3" w14:textId="7815DAE6" w:rsidR="006F253F" w:rsidRPr="00DF6F84" w:rsidRDefault="006F253F" w:rsidP="00381D38">
      <w:pPr>
        <w:pStyle w:val="Heading3"/>
        <w:shd w:val="clear" w:color="auto" w:fill="FFFFFF"/>
        <w:ind w:right="630"/>
        <w:rPr>
          <w:rFonts w:ascii="Times New Roman" w:hAnsi="Times New Roman" w:cs="Times New Roman"/>
          <w:b/>
          <w:bCs/>
          <w:color w:val="151515"/>
        </w:rPr>
      </w:pPr>
      <w:r w:rsidRPr="00DF6F84">
        <w:rPr>
          <w:rFonts w:ascii="Times New Roman" w:hAnsi="Times New Roman" w:cs="Times New Roman"/>
          <w:b/>
          <w:bCs/>
          <w:color w:val="151515"/>
        </w:rPr>
        <w:t>Long-term capital gains tax rates for the 2020 tax year:</w:t>
      </w:r>
      <w:r w:rsidRPr="00DF6F84">
        <w:rPr>
          <w:rFonts w:ascii="Times New Roman" w:hAnsi="Times New Roman" w:cs="Times New Roman"/>
          <w:b/>
          <w:bCs/>
          <w:color w:val="151515"/>
        </w:rPr>
        <w:br/>
      </w:r>
    </w:p>
    <w:tbl>
      <w:tblPr>
        <w:tblW w:w="8166" w:type="dxa"/>
        <w:shd w:val="clear" w:color="auto" w:fill="FFFFFF"/>
        <w:tblCellMar>
          <w:top w:w="15" w:type="dxa"/>
          <w:left w:w="15" w:type="dxa"/>
          <w:bottom w:w="15" w:type="dxa"/>
          <w:right w:w="15" w:type="dxa"/>
        </w:tblCellMar>
        <w:tblLook w:val="04A0" w:firstRow="1" w:lastRow="0" w:firstColumn="1" w:lastColumn="0" w:noHBand="0" w:noVBand="1"/>
      </w:tblPr>
      <w:tblGrid>
        <w:gridCol w:w="1714"/>
        <w:gridCol w:w="1460"/>
        <w:gridCol w:w="3372"/>
        <w:gridCol w:w="1620"/>
      </w:tblGrid>
      <w:tr w:rsidR="006F253F" w:rsidRPr="00DF6F84" w14:paraId="1DBEFC17" w14:textId="77777777" w:rsidTr="00F8186C">
        <w:trPr>
          <w:trHeight w:val="223"/>
          <w:tblHeader/>
        </w:trPr>
        <w:tc>
          <w:tcPr>
            <w:tcW w:w="1705" w:type="dxa"/>
            <w:tcBorders>
              <w:bottom w:val="single" w:sz="6" w:space="0" w:color="F0F1F5"/>
            </w:tcBorders>
            <w:shd w:val="clear" w:color="auto" w:fill="F0F0F2"/>
            <w:vAlign w:val="center"/>
            <w:hideMark/>
          </w:tcPr>
          <w:p w14:paraId="1989F980" w14:textId="77777777" w:rsidR="006F253F" w:rsidRPr="00DF6F84" w:rsidRDefault="006F253F" w:rsidP="00381D38">
            <w:pPr>
              <w:ind w:right="630"/>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FILING STATUS</w:t>
            </w:r>
          </w:p>
        </w:tc>
        <w:tc>
          <w:tcPr>
            <w:tcW w:w="1460" w:type="dxa"/>
            <w:tcBorders>
              <w:bottom w:val="single" w:sz="6" w:space="0" w:color="F0F1F5"/>
            </w:tcBorders>
            <w:shd w:val="clear" w:color="auto" w:fill="F0F0F2"/>
            <w:vAlign w:val="center"/>
            <w:hideMark/>
          </w:tcPr>
          <w:p w14:paraId="5D3561EA" w14:textId="77777777" w:rsidR="006F253F" w:rsidRPr="00DF6F84" w:rsidRDefault="006F253F" w:rsidP="00381D38">
            <w:pPr>
              <w:ind w:right="630"/>
              <w:jc w:val="center"/>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0% RATE</w:t>
            </w:r>
          </w:p>
        </w:tc>
        <w:tc>
          <w:tcPr>
            <w:tcW w:w="3372" w:type="dxa"/>
            <w:tcBorders>
              <w:bottom w:val="single" w:sz="6" w:space="0" w:color="F0F1F5"/>
            </w:tcBorders>
            <w:shd w:val="clear" w:color="auto" w:fill="F0F0F2"/>
            <w:vAlign w:val="center"/>
            <w:hideMark/>
          </w:tcPr>
          <w:p w14:paraId="63FA339C" w14:textId="77777777" w:rsidR="006F253F" w:rsidRPr="00DF6F84" w:rsidRDefault="006F253F" w:rsidP="00381D38">
            <w:pPr>
              <w:ind w:right="630"/>
              <w:jc w:val="center"/>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15% RATE</w:t>
            </w:r>
          </w:p>
        </w:tc>
        <w:tc>
          <w:tcPr>
            <w:tcW w:w="0" w:type="auto"/>
            <w:tcBorders>
              <w:bottom w:val="single" w:sz="6" w:space="0" w:color="F0F1F5"/>
            </w:tcBorders>
            <w:shd w:val="clear" w:color="auto" w:fill="F0F0F2"/>
            <w:vAlign w:val="center"/>
            <w:hideMark/>
          </w:tcPr>
          <w:p w14:paraId="109ACD34" w14:textId="77777777" w:rsidR="006F253F" w:rsidRPr="00DF6F84" w:rsidRDefault="006F253F" w:rsidP="00381D38">
            <w:pPr>
              <w:ind w:right="630"/>
              <w:jc w:val="right"/>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20% RATE</w:t>
            </w:r>
          </w:p>
        </w:tc>
      </w:tr>
      <w:tr w:rsidR="006F253F" w:rsidRPr="00DF6F84" w14:paraId="75DE7622" w14:textId="77777777" w:rsidTr="00F8186C">
        <w:trPr>
          <w:trHeight w:val="223"/>
        </w:trPr>
        <w:tc>
          <w:tcPr>
            <w:tcW w:w="1705" w:type="dxa"/>
            <w:tcBorders>
              <w:bottom w:val="single" w:sz="6" w:space="0" w:color="F0F1F5"/>
            </w:tcBorders>
            <w:shd w:val="clear" w:color="auto" w:fill="FFFFFF"/>
            <w:vAlign w:val="center"/>
            <w:hideMark/>
          </w:tcPr>
          <w:p w14:paraId="42D9BAAC"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Single</w:t>
            </w:r>
          </w:p>
        </w:tc>
        <w:tc>
          <w:tcPr>
            <w:tcW w:w="1460" w:type="dxa"/>
            <w:tcBorders>
              <w:bottom w:val="single" w:sz="6" w:space="0" w:color="F0F1F5"/>
            </w:tcBorders>
            <w:shd w:val="clear" w:color="auto" w:fill="FFFFFF"/>
            <w:vAlign w:val="center"/>
            <w:hideMark/>
          </w:tcPr>
          <w:p w14:paraId="35DB3ACB"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$40,000</w:t>
            </w:r>
          </w:p>
        </w:tc>
        <w:tc>
          <w:tcPr>
            <w:tcW w:w="3372" w:type="dxa"/>
            <w:tcBorders>
              <w:bottom w:val="single" w:sz="6" w:space="0" w:color="F0F1F5"/>
            </w:tcBorders>
            <w:shd w:val="clear" w:color="auto" w:fill="FFFFFF"/>
            <w:vAlign w:val="center"/>
            <w:hideMark/>
          </w:tcPr>
          <w:p w14:paraId="366B3D36"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$40,001 – $441,450</w:t>
            </w:r>
          </w:p>
        </w:tc>
        <w:tc>
          <w:tcPr>
            <w:tcW w:w="0" w:type="auto"/>
            <w:tcBorders>
              <w:bottom w:val="single" w:sz="6" w:space="0" w:color="F0F1F5"/>
            </w:tcBorders>
            <w:shd w:val="clear" w:color="auto" w:fill="FFFFFF"/>
            <w:vAlign w:val="center"/>
            <w:hideMark/>
          </w:tcPr>
          <w:p w14:paraId="4B1814B0"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$441,450</w:t>
            </w:r>
          </w:p>
        </w:tc>
      </w:tr>
      <w:tr w:rsidR="006F253F" w:rsidRPr="00DF6F84" w14:paraId="7A812B89" w14:textId="77777777" w:rsidTr="00F8186C">
        <w:trPr>
          <w:trHeight w:val="211"/>
        </w:trPr>
        <w:tc>
          <w:tcPr>
            <w:tcW w:w="1705" w:type="dxa"/>
            <w:tcBorders>
              <w:bottom w:val="single" w:sz="6" w:space="0" w:color="F0F1F5"/>
            </w:tcBorders>
            <w:shd w:val="clear" w:color="auto" w:fill="FFFFFF"/>
            <w:vAlign w:val="center"/>
            <w:hideMark/>
          </w:tcPr>
          <w:p w14:paraId="7266DA27"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Married filing jointly</w:t>
            </w:r>
          </w:p>
        </w:tc>
        <w:tc>
          <w:tcPr>
            <w:tcW w:w="1460" w:type="dxa"/>
            <w:tcBorders>
              <w:bottom w:val="single" w:sz="6" w:space="0" w:color="F0F1F5"/>
            </w:tcBorders>
            <w:shd w:val="clear" w:color="auto" w:fill="FFFFFF"/>
            <w:vAlign w:val="center"/>
            <w:hideMark/>
          </w:tcPr>
          <w:p w14:paraId="6ECC0845"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$80,000</w:t>
            </w:r>
          </w:p>
        </w:tc>
        <w:tc>
          <w:tcPr>
            <w:tcW w:w="3372" w:type="dxa"/>
            <w:tcBorders>
              <w:bottom w:val="single" w:sz="6" w:space="0" w:color="F0F1F5"/>
            </w:tcBorders>
            <w:shd w:val="clear" w:color="auto" w:fill="FFFFFF"/>
            <w:vAlign w:val="center"/>
            <w:hideMark/>
          </w:tcPr>
          <w:p w14:paraId="246633E2"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$80,001 – $496,600</w:t>
            </w:r>
          </w:p>
        </w:tc>
        <w:tc>
          <w:tcPr>
            <w:tcW w:w="0" w:type="auto"/>
            <w:tcBorders>
              <w:bottom w:val="single" w:sz="6" w:space="0" w:color="F0F1F5"/>
            </w:tcBorders>
            <w:shd w:val="clear" w:color="auto" w:fill="FFFFFF"/>
            <w:vAlign w:val="center"/>
            <w:hideMark/>
          </w:tcPr>
          <w:p w14:paraId="7FE11F78"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$496,600</w:t>
            </w:r>
          </w:p>
        </w:tc>
      </w:tr>
      <w:tr w:rsidR="006F253F" w:rsidRPr="00DF6F84" w14:paraId="0DADBBDA" w14:textId="77777777" w:rsidTr="00F8186C">
        <w:trPr>
          <w:trHeight w:val="223"/>
        </w:trPr>
        <w:tc>
          <w:tcPr>
            <w:tcW w:w="1705" w:type="dxa"/>
            <w:tcBorders>
              <w:bottom w:val="single" w:sz="6" w:space="0" w:color="F0F1F5"/>
            </w:tcBorders>
            <w:shd w:val="clear" w:color="auto" w:fill="FFFFFF"/>
            <w:vAlign w:val="center"/>
            <w:hideMark/>
          </w:tcPr>
          <w:p w14:paraId="48702B2B"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Married filing separately</w:t>
            </w:r>
          </w:p>
        </w:tc>
        <w:tc>
          <w:tcPr>
            <w:tcW w:w="1460" w:type="dxa"/>
            <w:tcBorders>
              <w:bottom w:val="single" w:sz="6" w:space="0" w:color="F0F1F5"/>
            </w:tcBorders>
            <w:shd w:val="clear" w:color="auto" w:fill="FFFFFF"/>
            <w:vAlign w:val="center"/>
            <w:hideMark/>
          </w:tcPr>
          <w:p w14:paraId="1234E8F7"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$40,000</w:t>
            </w:r>
          </w:p>
        </w:tc>
        <w:tc>
          <w:tcPr>
            <w:tcW w:w="3372" w:type="dxa"/>
            <w:tcBorders>
              <w:bottom w:val="single" w:sz="6" w:space="0" w:color="F0F1F5"/>
            </w:tcBorders>
            <w:shd w:val="clear" w:color="auto" w:fill="FFFFFF"/>
            <w:vAlign w:val="center"/>
            <w:hideMark/>
          </w:tcPr>
          <w:p w14:paraId="12DA0521"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$40,001 – $248,300</w:t>
            </w:r>
          </w:p>
        </w:tc>
        <w:tc>
          <w:tcPr>
            <w:tcW w:w="0" w:type="auto"/>
            <w:tcBorders>
              <w:bottom w:val="single" w:sz="6" w:space="0" w:color="F0F1F5"/>
            </w:tcBorders>
            <w:shd w:val="clear" w:color="auto" w:fill="FFFFFF"/>
            <w:vAlign w:val="center"/>
            <w:hideMark/>
          </w:tcPr>
          <w:p w14:paraId="51037BB5"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$248,300</w:t>
            </w:r>
          </w:p>
        </w:tc>
      </w:tr>
      <w:tr w:rsidR="006F253F" w:rsidRPr="00DF6F84" w14:paraId="6CE9D4AD" w14:textId="77777777" w:rsidTr="00F8186C">
        <w:trPr>
          <w:trHeight w:val="223"/>
        </w:trPr>
        <w:tc>
          <w:tcPr>
            <w:tcW w:w="1705" w:type="dxa"/>
            <w:tcBorders>
              <w:bottom w:val="single" w:sz="6" w:space="0" w:color="F0F1F5"/>
            </w:tcBorders>
            <w:shd w:val="clear" w:color="auto" w:fill="FFFFFF"/>
            <w:vAlign w:val="center"/>
            <w:hideMark/>
          </w:tcPr>
          <w:p w14:paraId="5D0C5FA7"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Head of household</w:t>
            </w:r>
          </w:p>
        </w:tc>
        <w:tc>
          <w:tcPr>
            <w:tcW w:w="1460" w:type="dxa"/>
            <w:tcBorders>
              <w:bottom w:val="single" w:sz="6" w:space="0" w:color="F0F1F5"/>
            </w:tcBorders>
            <w:shd w:val="clear" w:color="auto" w:fill="FFFFFF"/>
            <w:vAlign w:val="center"/>
            <w:hideMark/>
          </w:tcPr>
          <w:p w14:paraId="3EBE721E"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$53,600</w:t>
            </w:r>
          </w:p>
        </w:tc>
        <w:tc>
          <w:tcPr>
            <w:tcW w:w="3372" w:type="dxa"/>
            <w:tcBorders>
              <w:bottom w:val="single" w:sz="6" w:space="0" w:color="F0F1F5"/>
            </w:tcBorders>
            <w:shd w:val="clear" w:color="auto" w:fill="FFFFFF"/>
            <w:vAlign w:val="center"/>
            <w:hideMark/>
          </w:tcPr>
          <w:p w14:paraId="2B2CCAAE"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$53,601 – $469,050</w:t>
            </w:r>
          </w:p>
        </w:tc>
        <w:tc>
          <w:tcPr>
            <w:tcW w:w="0" w:type="auto"/>
            <w:tcBorders>
              <w:bottom w:val="single" w:sz="6" w:space="0" w:color="F0F1F5"/>
            </w:tcBorders>
            <w:shd w:val="clear" w:color="auto" w:fill="FFFFFF"/>
            <w:vAlign w:val="center"/>
            <w:hideMark/>
          </w:tcPr>
          <w:p w14:paraId="7068509F"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$469,050</w:t>
            </w:r>
          </w:p>
        </w:tc>
      </w:tr>
    </w:tbl>
    <w:p w14:paraId="6190E6DC" w14:textId="77777777" w:rsidR="006F253F" w:rsidRPr="00DF6F84" w:rsidRDefault="006F253F" w:rsidP="00381D38">
      <w:pPr>
        <w:pStyle w:val="NormalWeb"/>
        <w:shd w:val="clear" w:color="auto" w:fill="FFFFFF"/>
        <w:ind w:right="630"/>
        <w:rPr>
          <w:color w:val="575757"/>
        </w:rPr>
      </w:pPr>
      <w:r w:rsidRPr="00DF6F84">
        <w:rPr>
          <w:rStyle w:val="Emphasis"/>
          <w:color w:val="575757"/>
        </w:rPr>
        <w:t>Source: Internal Revenue Service </w:t>
      </w:r>
    </w:p>
    <w:p w14:paraId="0EF56310" w14:textId="16325FFD" w:rsidR="006F253F" w:rsidRPr="00DF6F84" w:rsidRDefault="006F253F" w:rsidP="00381D38">
      <w:pPr>
        <w:pStyle w:val="Heading3"/>
        <w:shd w:val="clear" w:color="auto" w:fill="FFFFFF"/>
        <w:ind w:right="630"/>
        <w:rPr>
          <w:rFonts w:ascii="Times New Roman" w:hAnsi="Times New Roman" w:cs="Times New Roman"/>
          <w:b/>
          <w:bCs/>
          <w:color w:val="151515"/>
        </w:rPr>
      </w:pPr>
      <w:r w:rsidRPr="00DF6F84">
        <w:rPr>
          <w:rFonts w:ascii="Times New Roman" w:hAnsi="Times New Roman" w:cs="Times New Roman"/>
          <w:b/>
          <w:bCs/>
          <w:color w:val="151515"/>
        </w:rPr>
        <w:lastRenderedPageBreak/>
        <w:t>Long-term capital gains tax rates for the 2021 tax year:</w:t>
      </w:r>
      <w:r w:rsidRPr="00DF6F84">
        <w:rPr>
          <w:rFonts w:ascii="Times New Roman" w:hAnsi="Times New Roman" w:cs="Times New Roman"/>
          <w:b/>
          <w:bCs/>
          <w:color w:val="151515"/>
        </w:rPr>
        <w:br/>
      </w:r>
    </w:p>
    <w:tbl>
      <w:tblPr>
        <w:tblW w:w="8110" w:type="dxa"/>
        <w:shd w:val="clear" w:color="auto" w:fill="FFFFFF"/>
        <w:tblCellMar>
          <w:top w:w="15" w:type="dxa"/>
          <w:left w:w="15" w:type="dxa"/>
          <w:bottom w:w="15" w:type="dxa"/>
          <w:right w:w="15" w:type="dxa"/>
        </w:tblCellMar>
        <w:tblLook w:val="04A0" w:firstRow="1" w:lastRow="0" w:firstColumn="1" w:lastColumn="0" w:noHBand="0" w:noVBand="1"/>
      </w:tblPr>
      <w:tblGrid>
        <w:gridCol w:w="2840"/>
        <w:gridCol w:w="1538"/>
        <w:gridCol w:w="1960"/>
        <w:gridCol w:w="1772"/>
      </w:tblGrid>
      <w:tr w:rsidR="00654664" w:rsidRPr="00DF6F84" w14:paraId="623F9A40" w14:textId="77777777" w:rsidTr="00654664">
        <w:trPr>
          <w:trHeight w:val="189"/>
          <w:tblHeader/>
        </w:trPr>
        <w:tc>
          <w:tcPr>
            <w:tcW w:w="2840" w:type="dxa"/>
            <w:tcBorders>
              <w:bottom w:val="single" w:sz="6" w:space="0" w:color="F0F1F5"/>
            </w:tcBorders>
            <w:shd w:val="clear" w:color="auto" w:fill="F0F0F2"/>
            <w:vAlign w:val="center"/>
            <w:hideMark/>
          </w:tcPr>
          <w:p w14:paraId="76E607D1" w14:textId="77777777" w:rsidR="006F253F" w:rsidRPr="00DF6F84" w:rsidRDefault="006F253F" w:rsidP="00381D38">
            <w:pPr>
              <w:ind w:right="630"/>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FILING STATUS</w:t>
            </w:r>
          </w:p>
        </w:tc>
        <w:tc>
          <w:tcPr>
            <w:tcW w:w="1538" w:type="dxa"/>
            <w:tcBorders>
              <w:bottom w:val="single" w:sz="6" w:space="0" w:color="F0F1F5"/>
            </w:tcBorders>
            <w:shd w:val="clear" w:color="auto" w:fill="F0F0F2"/>
            <w:vAlign w:val="center"/>
            <w:hideMark/>
          </w:tcPr>
          <w:p w14:paraId="71C6E72A" w14:textId="77777777" w:rsidR="006F253F" w:rsidRPr="00DF6F84" w:rsidRDefault="006F253F" w:rsidP="00381D38">
            <w:pPr>
              <w:ind w:right="630"/>
              <w:jc w:val="center"/>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0% RATE</w:t>
            </w:r>
          </w:p>
        </w:tc>
        <w:tc>
          <w:tcPr>
            <w:tcW w:w="0" w:type="auto"/>
            <w:tcBorders>
              <w:bottom w:val="single" w:sz="6" w:space="0" w:color="F0F1F5"/>
            </w:tcBorders>
            <w:shd w:val="clear" w:color="auto" w:fill="F0F0F2"/>
            <w:vAlign w:val="center"/>
            <w:hideMark/>
          </w:tcPr>
          <w:p w14:paraId="769F3B67" w14:textId="77777777" w:rsidR="006F253F" w:rsidRPr="00DF6F84" w:rsidRDefault="006F253F" w:rsidP="00381D38">
            <w:pPr>
              <w:ind w:right="630"/>
              <w:jc w:val="center"/>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15% RATE</w:t>
            </w:r>
          </w:p>
        </w:tc>
        <w:tc>
          <w:tcPr>
            <w:tcW w:w="0" w:type="auto"/>
            <w:tcBorders>
              <w:bottom w:val="single" w:sz="6" w:space="0" w:color="F0F1F5"/>
            </w:tcBorders>
            <w:shd w:val="clear" w:color="auto" w:fill="F0F0F2"/>
            <w:vAlign w:val="center"/>
            <w:hideMark/>
          </w:tcPr>
          <w:p w14:paraId="55B6D614" w14:textId="77777777" w:rsidR="006F253F" w:rsidRPr="00DF6F84" w:rsidRDefault="006F253F" w:rsidP="00381D38">
            <w:pPr>
              <w:ind w:right="630"/>
              <w:jc w:val="right"/>
              <w:rPr>
                <w:rFonts w:ascii="Times New Roman" w:hAnsi="Times New Roman" w:cs="Times New Roman"/>
                <w:b/>
                <w:bCs/>
                <w:caps/>
                <w:color w:val="50525A"/>
                <w:sz w:val="24"/>
                <w:szCs w:val="24"/>
              </w:rPr>
            </w:pPr>
            <w:r w:rsidRPr="00DF6F84">
              <w:rPr>
                <w:rFonts w:ascii="Times New Roman" w:hAnsi="Times New Roman" w:cs="Times New Roman"/>
                <w:b/>
                <w:bCs/>
                <w:caps/>
                <w:color w:val="50525A"/>
                <w:sz w:val="24"/>
                <w:szCs w:val="24"/>
              </w:rPr>
              <w:t>20% RATE</w:t>
            </w:r>
          </w:p>
        </w:tc>
      </w:tr>
      <w:tr w:rsidR="00654664" w:rsidRPr="00DF6F84" w14:paraId="7553A711" w14:textId="77777777" w:rsidTr="00654664">
        <w:trPr>
          <w:trHeight w:val="180"/>
        </w:trPr>
        <w:tc>
          <w:tcPr>
            <w:tcW w:w="2840" w:type="dxa"/>
            <w:tcBorders>
              <w:bottom w:val="single" w:sz="6" w:space="0" w:color="F0F1F5"/>
            </w:tcBorders>
            <w:shd w:val="clear" w:color="auto" w:fill="FFFFFF"/>
            <w:vAlign w:val="center"/>
            <w:hideMark/>
          </w:tcPr>
          <w:p w14:paraId="3D0D730D"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Single</w:t>
            </w:r>
          </w:p>
        </w:tc>
        <w:tc>
          <w:tcPr>
            <w:tcW w:w="1538" w:type="dxa"/>
            <w:tcBorders>
              <w:bottom w:val="single" w:sz="6" w:space="0" w:color="F0F1F5"/>
            </w:tcBorders>
            <w:shd w:val="clear" w:color="auto" w:fill="FFFFFF"/>
            <w:vAlign w:val="center"/>
            <w:hideMark/>
          </w:tcPr>
          <w:p w14:paraId="48037F7B"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$40,400</w:t>
            </w:r>
          </w:p>
        </w:tc>
        <w:tc>
          <w:tcPr>
            <w:tcW w:w="0" w:type="auto"/>
            <w:tcBorders>
              <w:bottom w:val="single" w:sz="6" w:space="0" w:color="F0F1F5"/>
            </w:tcBorders>
            <w:shd w:val="clear" w:color="auto" w:fill="FFFFFF"/>
            <w:vAlign w:val="center"/>
            <w:hideMark/>
          </w:tcPr>
          <w:p w14:paraId="493E6FA5"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$40,401 – $445,850</w:t>
            </w:r>
          </w:p>
        </w:tc>
        <w:tc>
          <w:tcPr>
            <w:tcW w:w="0" w:type="auto"/>
            <w:tcBorders>
              <w:bottom w:val="single" w:sz="6" w:space="0" w:color="F0F1F5"/>
            </w:tcBorders>
            <w:shd w:val="clear" w:color="auto" w:fill="FFFFFF"/>
            <w:vAlign w:val="center"/>
            <w:hideMark/>
          </w:tcPr>
          <w:p w14:paraId="7B4DDE3C"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$445,850</w:t>
            </w:r>
          </w:p>
        </w:tc>
      </w:tr>
      <w:tr w:rsidR="00654664" w:rsidRPr="00DF6F84" w14:paraId="7BE7D05E" w14:textId="77777777" w:rsidTr="00654664">
        <w:trPr>
          <w:trHeight w:val="189"/>
        </w:trPr>
        <w:tc>
          <w:tcPr>
            <w:tcW w:w="2840" w:type="dxa"/>
            <w:tcBorders>
              <w:bottom w:val="single" w:sz="6" w:space="0" w:color="F0F1F5"/>
            </w:tcBorders>
            <w:shd w:val="clear" w:color="auto" w:fill="FFFFFF"/>
            <w:vAlign w:val="center"/>
            <w:hideMark/>
          </w:tcPr>
          <w:p w14:paraId="253D405F"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Married filing jointly</w:t>
            </w:r>
          </w:p>
        </w:tc>
        <w:tc>
          <w:tcPr>
            <w:tcW w:w="1538" w:type="dxa"/>
            <w:tcBorders>
              <w:bottom w:val="single" w:sz="6" w:space="0" w:color="F0F1F5"/>
            </w:tcBorders>
            <w:shd w:val="clear" w:color="auto" w:fill="FFFFFF"/>
            <w:vAlign w:val="center"/>
            <w:hideMark/>
          </w:tcPr>
          <w:p w14:paraId="39DB4677"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$80,800</w:t>
            </w:r>
          </w:p>
        </w:tc>
        <w:tc>
          <w:tcPr>
            <w:tcW w:w="0" w:type="auto"/>
            <w:tcBorders>
              <w:bottom w:val="single" w:sz="6" w:space="0" w:color="F0F1F5"/>
            </w:tcBorders>
            <w:shd w:val="clear" w:color="auto" w:fill="FFFFFF"/>
            <w:vAlign w:val="center"/>
            <w:hideMark/>
          </w:tcPr>
          <w:p w14:paraId="2C2B27C9"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$80,801 – $501,600</w:t>
            </w:r>
          </w:p>
        </w:tc>
        <w:tc>
          <w:tcPr>
            <w:tcW w:w="0" w:type="auto"/>
            <w:tcBorders>
              <w:bottom w:val="single" w:sz="6" w:space="0" w:color="F0F1F5"/>
            </w:tcBorders>
            <w:shd w:val="clear" w:color="auto" w:fill="FFFFFF"/>
            <w:vAlign w:val="center"/>
            <w:hideMark/>
          </w:tcPr>
          <w:p w14:paraId="0EA21AB8"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$501,600</w:t>
            </w:r>
          </w:p>
        </w:tc>
      </w:tr>
      <w:tr w:rsidR="00654664" w:rsidRPr="00DF6F84" w14:paraId="23800617" w14:textId="77777777" w:rsidTr="00654664">
        <w:trPr>
          <w:trHeight w:val="180"/>
        </w:trPr>
        <w:tc>
          <w:tcPr>
            <w:tcW w:w="2840" w:type="dxa"/>
            <w:tcBorders>
              <w:bottom w:val="single" w:sz="6" w:space="0" w:color="F0F1F5"/>
            </w:tcBorders>
            <w:shd w:val="clear" w:color="auto" w:fill="FFFFFF"/>
            <w:vAlign w:val="center"/>
            <w:hideMark/>
          </w:tcPr>
          <w:p w14:paraId="0731A9F3"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Married filing separately</w:t>
            </w:r>
          </w:p>
        </w:tc>
        <w:tc>
          <w:tcPr>
            <w:tcW w:w="1538" w:type="dxa"/>
            <w:tcBorders>
              <w:bottom w:val="single" w:sz="6" w:space="0" w:color="F0F1F5"/>
            </w:tcBorders>
            <w:shd w:val="clear" w:color="auto" w:fill="FFFFFF"/>
            <w:vAlign w:val="center"/>
            <w:hideMark/>
          </w:tcPr>
          <w:p w14:paraId="1751963D"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$40,400</w:t>
            </w:r>
          </w:p>
        </w:tc>
        <w:tc>
          <w:tcPr>
            <w:tcW w:w="0" w:type="auto"/>
            <w:tcBorders>
              <w:bottom w:val="single" w:sz="6" w:space="0" w:color="F0F1F5"/>
            </w:tcBorders>
            <w:shd w:val="clear" w:color="auto" w:fill="FFFFFF"/>
            <w:vAlign w:val="center"/>
            <w:hideMark/>
          </w:tcPr>
          <w:p w14:paraId="2FFD5629"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$40,401 – $250,800</w:t>
            </w:r>
          </w:p>
        </w:tc>
        <w:tc>
          <w:tcPr>
            <w:tcW w:w="0" w:type="auto"/>
            <w:tcBorders>
              <w:bottom w:val="single" w:sz="6" w:space="0" w:color="F0F1F5"/>
            </w:tcBorders>
            <w:shd w:val="clear" w:color="auto" w:fill="FFFFFF"/>
            <w:vAlign w:val="center"/>
            <w:hideMark/>
          </w:tcPr>
          <w:p w14:paraId="24DF3EFC"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$250,800</w:t>
            </w:r>
          </w:p>
        </w:tc>
      </w:tr>
      <w:tr w:rsidR="00654664" w:rsidRPr="00DF6F84" w14:paraId="72CB0773" w14:textId="77777777" w:rsidTr="00654664">
        <w:trPr>
          <w:trHeight w:val="189"/>
        </w:trPr>
        <w:tc>
          <w:tcPr>
            <w:tcW w:w="2840" w:type="dxa"/>
            <w:tcBorders>
              <w:bottom w:val="single" w:sz="6" w:space="0" w:color="F0F1F5"/>
            </w:tcBorders>
            <w:shd w:val="clear" w:color="auto" w:fill="FFFFFF"/>
            <w:vAlign w:val="center"/>
            <w:hideMark/>
          </w:tcPr>
          <w:p w14:paraId="01767135" w14:textId="77777777" w:rsidR="006F253F" w:rsidRPr="00DF6F84" w:rsidRDefault="006F253F" w:rsidP="00381D38">
            <w:pPr>
              <w:ind w:right="630"/>
              <w:rPr>
                <w:rFonts w:ascii="Times New Roman" w:hAnsi="Times New Roman" w:cs="Times New Roman"/>
                <w:color w:val="575757"/>
                <w:sz w:val="24"/>
                <w:szCs w:val="24"/>
              </w:rPr>
            </w:pPr>
            <w:r w:rsidRPr="00DF6F84">
              <w:rPr>
                <w:rStyle w:val="Strong"/>
                <w:rFonts w:ascii="Times New Roman" w:hAnsi="Times New Roman" w:cs="Times New Roman"/>
                <w:color w:val="575757"/>
                <w:sz w:val="24"/>
                <w:szCs w:val="24"/>
              </w:rPr>
              <w:t>Head of household</w:t>
            </w:r>
          </w:p>
        </w:tc>
        <w:tc>
          <w:tcPr>
            <w:tcW w:w="1538" w:type="dxa"/>
            <w:tcBorders>
              <w:bottom w:val="single" w:sz="6" w:space="0" w:color="F0F1F5"/>
            </w:tcBorders>
            <w:shd w:val="clear" w:color="auto" w:fill="FFFFFF"/>
            <w:vAlign w:val="center"/>
            <w:hideMark/>
          </w:tcPr>
          <w:p w14:paraId="37E1B15B"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Up to $54,100</w:t>
            </w:r>
          </w:p>
        </w:tc>
        <w:tc>
          <w:tcPr>
            <w:tcW w:w="0" w:type="auto"/>
            <w:tcBorders>
              <w:bottom w:val="single" w:sz="6" w:space="0" w:color="F0F1F5"/>
            </w:tcBorders>
            <w:shd w:val="clear" w:color="auto" w:fill="FFFFFF"/>
            <w:vAlign w:val="center"/>
            <w:hideMark/>
          </w:tcPr>
          <w:p w14:paraId="685DC540" w14:textId="77777777" w:rsidR="006F253F" w:rsidRPr="00DF6F84" w:rsidRDefault="006F253F" w:rsidP="00381D38">
            <w:pPr>
              <w:ind w:right="630"/>
              <w:jc w:val="center"/>
              <w:rPr>
                <w:rFonts w:ascii="Times New Roman" w:hAnsi="Times New Roman" w:cs="Times New Roman"/>
                <w:color w:val="575757"/>
                <w:sz w:val="24"/>
                <w:szCs w:val="24"/>
              </w:rPr>
            </w:pPr>
            <w:r w:rsidRPr="00DF6F84">
              <w:rPr>
                <w:rFonts w:ascii="Times New Roman" w:hAnsi="Times New Roman" w:cs="Times New Roman"/>
                <w:color w:val="575757"/>
                <w:sz w:val="24"/>
                <w:szCs w:val="24"/>
              </w:rPr>
              <w:t>$54,101 – $473,750</w:t>
            </w:r>
          </w:p>
        </w:tc>
        <w:tc>
          <w:tcPr>
            <w:tcW w:w="0" w:type="auto"/>
            <w:tcBorders>
              <w:bottom w:val="single" w:sz="6" w:space="0" w:color="F0F1F5"/>
            </w:tcBorders>
            <w:shd w:val="clear" w:color="auto" w:fill="FFFFFF"/>
            <w:vAlign w:val="center"/>
            <w:hideMark/>
          </w:tcPr>
          <w:p w14:paraId="706521B5" w14:textId="77777777" w:rsidR="006F253F" w:rsidRPr="00DF6F84" w:rsidRDefault="006F253F" w:rsidP="00381D38">
            <w:pPr>
              <w:ind w:right="630"/>
              <w:jc w:val="right"/>
              <w:rPr>
                <w:rFonts w:ascii="Times New Roman" w:hAnsi="Times New Roman" w:cs="Times New Roman"/>
                <w:color w:val="575757"/>
                <w:sz w:val="24"/>
                <w:szCs w:val="24"/>
              </w:rPr>
            </w:pPr>
            <w:r w:rsidRPr="00DF6F84">
              <w:rPr>
                <w:rFonts w:ascii="Times New Roman" w:hAnsi="Times New Roman" w:cs="Times New Roman"/>
                <w:color w:val="575757"/>
                <w:sz w:val="24"/>
                <w:szCs w:val="24"/>
              </w:rPr>
              <w:t>Over $473,750</w:t>
            </w:r>
          </w:p>
        </w:tc>
      </w:tr>
    </w:tbl>
    <w:p w14:paraId="71E9B9CA" w14:textId="77777777" w:rsidR="006F253F" w:rsidRPr="001167C8" w:rsidRDefault="006F253F" w:rsidP="00381D38">
      <w:pPr>
        <w:pStyle w:val="NormalWeb"/>
        <w:shd w:val="clear" w:color="auto" w:fill="FFFFFF"/>
        <w:ind w:right="630"/>
      </w:pPr>
      <w:r w:rsidRPr="001167C8">
        <w:rPr>
          <w:rStyle w:val="Emphasis"/>
        </w:rPr>
        <w:t>Source: Internal Revenue Service </w:t>
      </w:r>
    </w:p>
    <w:p w14:paraId="43D58CE7" w14:textId="01B8C675" w:rsidR="009B2716" w:rsidRPr="001167C8" w:rsidRDefault="009B2716" w:rsidP="00381D38">
      <w:pPr>
        <w:pStyle w:val="ListParagraph"/>
        <w:ind w:left="0" w:right="630"/>
        <w:rPr>
          <w:rFonts w:ascii="Times New Roman" w:hAnsi="Times New Roman" w:cs="Times New Roman"/>
          <w:iCs/>
          <w:sz w:val="24"/>
          <w:szCs w:val="24"/>
        </w:rPr>
      </w:pPr>
      <w:r w:rsidRPr="001167C8">
        <w:rPr>
          <w:rFonts w:ascii="Times New Roman" w:hAnsi="Times New Roman" w:cs="Times New Roman"/>
          <w:sz w:val="24"/>
          <w:szCs w:val="24"/>
          <w:shd w:val="clear" w:color="auto" w:fill="FFFFFF"/>
        </w:rPr>
        <w:t xml:space="preserve">For example, in 2020, individual filers </w:t>
      </w:r>
      <w:proofErr w:type="gramStart"/>
      <w:r w:rsidR="00DC2911">
        <w:rPr>
          <w:rFonts w:ascii="Times New Roman" w:hAnsi="Times New Roman" w:cs="Times New Roman"/>
          <w:sz w:val="24"/>
          <w:szCs w:val="24"/>
          <w:shd w:val="clear" w:color="auto" w:fill="FFFFFF"/>
        </w:rPr>
        <w:t>won’t</w:t>
      </w:r>
      <w:proofErr w:type="gramEnd"/>
      <w:r w:rsidRPr="001167C8">
        <w:rPr>
          <w:rFonts w:ascii="Times New Roman" w:hAnsi="Times New Roman" w:cs="Times New Roman"/>
          <w:sz w:val="24"/>
          <w:szCs w:val="24"/>
          <w:shd w:val="clear" w:color="auto" w:fill="FFFFFF"/>
        </w:rPr>
        <w:t xml:space="preserve"> pay any capital gains tax if their total taxable income is $40,000 or below. However, they’ll pay 15 percent on capital gains if their income is $40,001 to $441,450. Above that income level, the rate jumps to 20 percent.</w:t>
      </w:r>
      <w:r w:rsidRPr="001167C8">
        <w:rPr>
          <w:rFonts w:ascii="Times New Roman" w:hAnsi="Times New Roman" w:cs="Times New Roman"/>
          <w:sz w:val="24"/>
          <w:szCs w:val="24"/>
          <w:shd w:val="clear" w:color="auto" w:fill="FFFFFF"/>
        </w:rPr>
        <w:br/>
      </w:r>
      <w:r w:rsidRPr="001167C8">
        <w:rPr>
          <w:rFonts w:ascii="Times New Roman" w:hAnsi="Times New Roman" w:cs="Times New Roman"/>
          <w:sz w:val="24"/>
          <w:szCs w:val="24"/>
          <w:shd w:val="clear" w:color="auto" w:fill="FFFFFF"/>
        </w:rPr>
        <w:br/>
      </w:r>
      <w:r w:rsidRPr="001167C8">
        <w:rPr>
          <w:rFonts w:ascii="Times New Roman" w:hAnsi="Times New Roman" w:cs="Times New Roman"/>
          <w:sz w:val="24"/>
          <w:szCs w:val="24"/>
        </w:rPr>
        <w:t xml:space="preserve">In 2021, individual filers won’t pay any capital gains tax if their total taxable income is $40,400 or less. The rate jumps to 15 percent on capital </w:t>
      </w:r>
      <w:r w:rsidR="002E687E" w:rsidRPr="001167C8">
        <w:rPr>
          <w:rFonts w:ascii="Times New Roman" w:hAnsi="Times New Roman" w:cs="Times New Roman"/>
          <w:sz w:val="24"/>
          <w:szCs w:val="24"/>
        </w:rPr>
        <w:t>gains if</w:t>
      </w:r>
      <w:r w:rsidRPr="001167C8">
        <w:rPr>
          <w:rFonts w:ascii="Times New Roman" w:hAnsi="Times New Roman" w:cs="Times New Roman"/>
          <w:sz w:val="24"/>
          <w:szCs w:val="24"/>
        </w:rPr>
        <w:t xml:space="preserve"> their income is $40,401 to $445,850. Above that income level the rate climbs to 20 percent.</w:t>
      </w:r>
    </w:p>
    <w:p w14:paraId="728B643D" w14:textId="77777777" w:rsidR="009B2716" w:rsidRPr="001167C8" w:rsidRDefault="009B2716" w:rsidP="00381D38">
      <w:pPr>
        <w:pStyle w:val="NormalWeb"/>
        <w:shd w:val="clear" w:color="auto" w:fill="FFFFFF"/>
        <w:ind w:right="630"/>
      </w:pPr>
      <w:r w:rsidRPr="001167C8">
        <w:t>In addition, those capital gains may be subject to the </w:t>
      </w:r>
      <w:hyperlink r:id="rId7" w:history="1">
        <w:r w:rsidRPr="001167C8">
          <w:rPr>
            <w:rStyle w:val="Hyperlink"/>
            <w:rFonts w:eastAsiaTheme="majorEastAsia"/>
            <w:color w:val="auto"/>
          </w:rPr>
          <w:t>net investment income tax</w:t>
        </w:r>
      </w:hyperlink>
      <w:r w:rsidRPr="001167C8">
        <w:t> (NIIT), an additional levy of 3.8 percent if the taxpayer’s income is above certain amounts. The income thresholds depend on the filer’s status (individual, married filing jointly, etc.).</w:t>
      </w:r>
    </w:p>
    <w:p w14:paraId="2E508A4B" w14:textId="6835521D" w:rsidR="009B2716" w:rsidRPr="001167C8" w:rsidRDefault="009B2716" w:rsidP="00381D38">
      <w:pPr>
        <w:pStyle w:val="NormalWeb"/>
        <w:shd w:val="clear" w:color="auto" w:fill="FFFFFF"/>
        <w:ind w:right="630"/>
      </w:pPr>
      <w:r w:rsidRPr="001167C8">
        <w:t>Meanwhile, for short-term capital gains, the tax brackets for ordinary income taxes apply. The 2020 tax brackets are 10 percent, 12 percent, 22 percent, 24 percent, 32 percent, 35 percent, and 37 percent.</w:t>
      </w:r>
      <w:r w:rsidR="00E94ED0">
        <w:t xml:space="preserve"> </w:t>
      </w:r>
      <w:r w:rsidRPr="001167C8">
        <w:t>Unlike the long-term capital gains tax rate, there is no 0 percent rate or 20 percent ceiling for short-term capital gains taxes.</w:t>
      </w:r>
    </w:p>
    <w:p w14:paraId="2BF57635" w14:textId="2E7B0E84" w:rsidR="0091617F" w:rsidRDefault="004E0F84" w:rsidP="00381D38">
      <w:pPr>
        <w:ind w:right="630"/>
        <w:rPr>
          <w:rFonts w:ascii="Times New Roman" w:eastAsia="Times New Roman" w:hAnsi="Times New Roman" w:cs="Times New Roman"/>
          <w:sz w:val="24"/>
          <w:szCs w:val="24"/>
        </w:rPr>
      </w:pPr>
      <w:r w:rsidRPr="004E0F84">
        <w:rPr>
          <w:rFonts w:ascii="Times New Roman" w:eastAsia="Times New Roman" w:hAnsi="Times New Roman" w:cs="Times New Roman"/>
          <w:b/>
          <w:bCs/>
          <w:i/>
          <w:iCs/>
          <w:sz w:val="24"/>
          <w:szCs w:val="24"/>
        </w:rPr>
        <w:t>A Popular Year-End Savings Strategy</w:t>
      </w:r>
      <w:r w:rsidRPr="00116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047CB">
        <w:rPr>
          <w:rFonts w:ascii="Times New Roman" w:eastAsia="Times New Roman" w:hAnsi="Times New Roman" w:cs="Times New Roman"/>
          <w:sz w:val="24"/>
          <w:szCs w:val="24"/>
        </w:rPr>
        <w:t>One potentially tax saving move</w:t>
      </w:r>
      <w:r w:rsidR="00A804AA">
        <w:rPr>
          <w:rFonts w:ascii="Times New Roman" w:eastAsia="Times New Roman" w:hAnsi="Times New Roman" w:cs="Times New Roman"/>
          <w:sz w:val="24"/>
          <w:szCs w:val="24"/>
        </w:rPr>
        <w:t>,</w:t>
      </w:r>
      <w:r w:rsidR="00C047CB">
        <w:rPr>
          <w:rFonts w:ascii="Times New Roman" w:eastAsia="Times New Roman" w:hAnsi="Times New Roman" w:cs="Times New Roman"/>
          <w:sz w:val="24"/>
          <w:szCs w:val="24"/>
        </w:rPr>
        <w:t xml:space="preserve"> </w:t>
      </w:r>
      <w:r w:rsidR="0091617F" w:rsidRPr="001167C8">
        <w:rPr>
          <w:rFonts w:ascii="Times New Roman" w:eastAsia="Times New Roman" w:hAnsi="Times New Roman" w:cs="Times New Roman"/>
          <w:sz w:val="24"/>
          <w:szCs w:val="24"/>
        </w:rPr>
        <w:t>for those who have experienced gains this year</w:t>
      </w:r>
      <w:r w:rsidR="00A804AA">
        <w:rPr>
          <w:rFonts w:ascii="Times New Roman" w:eastAsia="Times New Roman" w:hAnsi="Times New Roman" w:cs="Times New Roman"/>
          <w:sz w:val="24"/>
          <w:szCs w:val="24"/>
        </w:rPr>
        <w:t>,</w:t>
      </w:r>
      <w:r w:rsidR="0091617F" w:rsidRPr="001167C8">
        <w:rPr>
          <w:rFonts w:ascii="Times New Roman" w:eastAsia="Times New Roman" w:hAnsi="Times New Roman" w:cs="Times New Roman"/>
          <w:sz w:val="24"/>
          <w:szCs w:val="24"/>
        </w:rPr>
        <w:t xml:space="preserve"> is dumping bad investments. Tax-loss harvesting, as it’s known, is a popular year-end savings strategy that involves selling certain securities at a loss to offset your short-term capital gains liability. </w:t>
      </w:r>
      <w:r w:rsidR="00753FAB" w:rsidRPr="001167C8">
        <w:rPr>
          <w:rFonts w:ascii="Times New Roman" w:eastAsia="Times New Roman" w:hAnsi="Times New Roman" w:cs="Times New Roman"/>
          <w:sz w:val="24"/>
          <w:szCs w:val="24"/>
        </w:rPr>
        <w:t>Tax-loss harvesting</w:t>
      </w:r>
      <w:r w:rsidR="00753FAB">
        <w:rPr>
          <w:rFonts w:ascii="Times New Roman" w:eastAsia="Times New Roman" w:hAnsi="Times New Roman" w:cs="Times New Roman"/>
          <w:sz w:val="24"/>
          <w:szCs w:val="24"/>
        </w:rPr>
        <w:t xml:space="preserve"> is </w:t>
      </w:r>
      <w:r w:rsidR="0091617F" w:rsidRPr="001167C8">
        <w:rPr>
          <w:rFonts w:ascii="Times New Roman" w:eastAsia="Times New Roman" w:hAnsi="Times New Roman" w:cs="Times New Roman"/>
          <w:sz w:val="24"/>
          <w:szCs w:val="24"/>
        </w:rPr>
        <w:t xml:space="preserve">not right for everyone, obviously. But not only can it potentially save you money in the short-term, </w:t>
      </w:r>
      <w:proofErr w:type="gramStart"/>
      <w:r w:rsidR="0091617F" w:rsidRPr="001167C8">
        <w:rPr>
          <w:rFonts w:ascii="Times New Roman" w:eastAsia="Times New Roman" w:hAnsi="Times New Roman" w:cs="Times New Roman"/>
          <w:sz w:val="24"/>
          <w:szCs w:val="24"/>
        </w:rPr>
        <w:t>it</w:t>
      </w:r>
      <w:proofErr w:type="gramEnd"/>
      <w:r w:rsidR="0091617F" w:rsidRPr="001167C8">
        <w:rPr>
          <w:rFonts w:ascii="Times New Roman" w:eastAsia="Times New Roman" w:hAnsi="Times New Roman" w:cs="Times New Roman"/>
          <w:sz w:val="24"/>
          <w:szCs w:val="24"/>
        </w:rPr>
        <w:t xml:space="preserve"> can also be the starting point for </w:t>
      </w:r>
      <w:r w:rsidR="0018480F">
        <w:rPr>
          <w:rFonts w:ascii="Times New Roman" w:eastAsia="Times New Roman" w:hAnsi="Times New Roman" w:cs="Times New Roman"/>
          <w:sz w:val="24"/>
          <w:szCs w:val="24"/>
        </w:rPr>
        <w:t xml:space="preserve">making that all important switch from </w:t>
      </w:r>
      <w:r w:rsidR="0018480F" w:rsidRPr="001167C8">
        <w:rPr>
          <w:rFonts w:ascii="Times New Roman" w:eastAsia="Times New Roman" w:hAnsi="Times New Roman" w:cs="Times New Roman"/>
          <w:sz w:val="24"/>
          <w:szCs w:val="24"/>
        </w:rPr>
        <w:t xml:space="preserve">investing for </w:t>
      </w:r>
      <w:r w:rsidR="0018480F">
        <w:rPr>
          <w:rFonts w:ascii="Times New Roman" w:eastAsia="Times New Roman" w:hAnsi="Times New Roman" w:cs="Times New Roman"/>
          <w:sz w:val="24"/>
          <w:szCs w:val="24"/>
        </w:rPr>
        <w:t xml:space="preserve">growth, or </w:t>
      </w:r>
      <w:r w:rsidR="0018480F" w:rsidRPr="001167C8">
        <w:rPr>
          <w:rFonts w:ascii="Times New Roman" w:eastAsia="Times New Roman" w:hAnsi="Times New Roman" w:cs="Times New Roman"/>
          <w:sz w:val="24"/>
          <w:szCs w:val="24"/>
        </w:rPr>
        <w:t>capital gains</w:t>
      </w:r>
      <w:r w:rsidR="0018480F">
        <w:rPr>
          <w:rFonts w:ascii="Times New Roman" w:eastAsia="Times New Roman" w:hAnsi="Times New Roman" w:cs="Times New Roman"/>
          <w:sz w:val="24"/>
          <w:szCs w:val="24"/>
        </w:rPr>
        <w:t xml:space="preserve">, to </w:t>
      </w:r>
      <w:r w:rsidR="0091617F" w:rsidRPr="001167C8">
        <w:rPr>
          <w:rFonts w:ascii="Times New Roman" w:eastAsia="Times New Roman" w:hAnsi="Times New Roman" w:cs="Times New Roman"/>
          <w:sz w:val="24"/>
          <w:szCs w:val="24"/>
        </w:rPr>
        <w:t>investing for income</w:t>
      </w:r>
      <w:r w:rsidR="0018480F">
        <w:rPr>
          <w:rFonts w:ascii="Times New Roman" w:eastAsia="Times New Roman" w:hAnsi="Times New Roman" w:cs="Times New Roman"/>
          <w:sz w:val="24"/>
          <w:szCs w:val="24"/>
        </w:rPr>
        <w:t>.</w:t>
      </w:r>
      <w:r w:rsidR="00E9687E">
        <w:rPr>
          <w:rFonts w:ascii="Times New Roman" w:eastAsia="Times New Roman" w:hAnsi="Times New Roman" w:cs="Times New Roman"/>
          <w:sz w:val="24"/>
          <w:szCs w:val="24"/>
        </w:rPr>
        <w:br/>
      </w:r>
    </w:p>
    <w:p w14:paraId="62D61ABD" w14:textId="450E044D" w:rsidR="009B2716" w:rsidRPr="00820513" w:rsidRDefault="008E50A1" w:rsidP="00E9687E">
      <w:pPr>
        <w:spacing w:before="80"/>
        <w:rPr>
          <w:rFonts w:ascii="Times New Roman" w:eastAsia="Calibri" w:hAnsi="Times New Roman" w:cs="Times New Roman"/>
          <w:color w:val="4472C4" w:themeColor="accent1"/>
          <w:sz w:val="24"/>
          <w:szCs w:val="24"/>
        </w:rPr>
      </w:pPr>
      <w:r>
        <w:rPr>
          <w:rFonts w:ascii="Times New Roman" w:eastAsia="Times New Roman" w:hAnsi="Times New Roman" w:cs="Times New Roman"/>
          <w:sz w:val="24"/>
          <w:szCs w:val="24"/>
        </w:rPr>
        <w:t>I hope that today’s event helped you understand how some</w:t>
      </w:r>
      <w:r w:rsidR="00DC291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upcoming changes proposed by the </w:t>
      </w:r>
      <w:r w:rsidR="008A3656">
        <w:rPr>
          <w:rFonts w:ascii="Times New Roman" w:eastAsia="Times New Roman" w:hAnsi="Times New Roman" w:cs="Times New Roman"/>
          <w:sz w:val="24"/>
          <w:szCs w:val="24"/>
        </w:rPr>
        <w:t>incoming a</w:t>
      </w:r>
      <w:r>
        <w:rPr>
          <w:rFonts w:ascii="Times New Roman" w:eastAsia="Times New Roman" w:hAnsi="Times New Roman" w:cs="Times New Roman"/>
          <w:sz w:val="24"/>
          <w:szCs w:val="24"/>
        </w:rPr>
        <w:t xml:space="preserve">dministration could impact the financial markets and your plans for retirement—as well as some of the steps you can take now to </w:t>
      </w:r>
      <w:r w:rsidR="00087F5B">
        <w:rPr>
          <w:rFonts w:ascii="Times New Roman" w:eastAsia="Times New Roman" w:hAnsi="Times New Roman" w:cs="Times New Roman"/>
          <w:sz w:val="24"/>
          <w:szCs w:val="24"/>
        </w:rPr>
        <w:t>lower your tax liability in the upcoming year</w:t>
      </w:r>
      <w:r w:rsidR="00E368DC">
        <w:rPr>
          <w:rFonts w:ascii="Times New Roman" w:eastAsia="Times New Roman" w:hAnsi="Times New Roman" w:cs="Times New Roman"/>
          <w:sz w:val="24"/>
          <w:szCs w:val="24"/>
        </w:rPr>
        <w:t>.</w:t>
      </w:r>
      <w:r w:rsidR="00E368DC">
        <w:rPr>
          <w:rFonts w:ascii="Times New Roman" w:eastAsia="Times New Roman" w:hAnsi="Times New Roman" w:cs="Times New Roman"/>
          <w:sz w:val="24"/>
          <w:szCs w:val="24"/>
        </w:rPr>
        <w:br/>
      </w:r>
      <w:r w:rsidR="00E368DC">
        <w:rPr>
          <w:rFonts w:ascii="Times New Roman" w:eastAsia="Times New Roman" w:hAnsi="Times New Roman" w:cs="Times New Roman"/>
          <w:sz w:val="24"/>
          <w:szCs w:val="24"/>
        </w:rPr>
        <w:lastRenderedPageBreak/>
        <w:br/>
      </w:r>
      <w:r w:rsidR="00E368DC" w:rsidRPr="00820513">
        <w:rPr>
          <w:rFonts w:ascii="Times New Roman" w:eastAsia="Calibri" w:hAnsi="Times New Roman" w:cs="Times New Roman"/>
          <w:color w:val="4472C4" w:themeColor="accent1"/>
          <w:sz w:val="24"/>
          <w:szCs w:val="24"/>
        </w:rPr>
        <w:t xml:space="preserve">At the end of this webinar, please go ahead and use the feedback form to give us some feedback about what you learned from the program and some areas you think we might be able to improve for the future. </w:t>
      </w:r>
      <w:r w:rsidR="00E368DC" w:rsidRPr="00820513">
        <w:rPr>
          <w:rFonts w:ascii="Times New Roman" w:eastAsia="Calibri" w:hAnsi="Times New Roman" w:cs="Times New Roman"/>
          <w:color w:val="4472C4" w:themeColor="accent1"/>
          <w:sz w:val="24"/>
          <w:szCs w:val="24"/>
        </w:rPr>
        <w:br/>
      </w:r>
      <w:r w:rsidR="00E9687E" w:rsidRPr="00820513">
        <w:rPr>
          <w:rFonts w:ascii="Times New Roman" w:eastAsia="Calibri" w:hAnsi="Times New Roman" w:cs="Times New Roman"/>
          <w:color w:val="4472C4" w:themeColor="accent1"/>
          <w:sz w:val="24"/>
          <w:szCs w:val="24"/>
        </w:rPr>
        <w:br/>
        <w:t>If you are not 100% sure that your retirement plan is built to offset the power of inflation or h</w:t>
      </w:r>
      <w:r w:rsidR="00E9687E" w:rsidRPr="00820513">
        <w:rPr>
          <w:rFonts w:ascii="Times New Roman" w:eastAsia="Times New Roman" w:hAnsi="Times New Roman" w:cs="Times New Roman"/>
          <w:color w:val="4472C4" w:themeColor="accent1"/>
          <w:sz w:val="24"/>
          <w:szCs w:val="24"/>
        </w:rPr>
        <w:t>ow to maximize the income generated by your retirement savings</w:t>
      </w:r>
      <w:r w:rsidR="00E9687E" w:rsidRPr="00820513">
        <w:rPr>
          <w:rFonts w:ascii="Times New Roman" w:eastAsia="Calibri" w:hAnsi="Times New Roman" w:cs="Times New Roman"/>
          <w:color w:val="4472C4" w:themeColor="accent1"/>
          <w:sz w:val="24"/>
          <w:szCs w:val="24"/>
        </w:rPr>
        <w:t xml:space="preserve">, call our office or click on the button below to schedule your 15-minute complimentary phone call. </w:t>
      </w:r>
      <w:r w:rsidR="00E9687E" w:rsidRPr="00820513">
        <w:rPr>
          <w:rFonts w:ascii="Times New Roman" w:eastAsia="Calibri" w:hAnsi="Times New Roman" w:cs="Times New Roman"/>
          <w:color w:val="4472C4" w:themeColor="accent1"/>
          <w:sz w:val="24"/>
          <w:szCs w:val="24"/>
        </w:rPr>
        <w:br/>
      </w:r>
      <w:r w:rsidR="00E9687E" w:rsidRPr="00820513">
        <w:rPr>
          <w:rFonts w:ascii="Times New Roman" w:eastAsia="Calibri" w:hAnsi="Times New Roman" w:cs="Times New Roman"/>
          <w:color w:val="4472C4" w:themeColor="accent1"/>
          <w:sz w:val="24"/>
          <w:szCs w:val="24"/>
        </w:rPr>
        <w:br/>
        <w:t>Or, if you're curious about whether your investments are properly allocated for things like RMDS, or when the right time</w:t>
      </w:r>
      <w:r w:rsidR="00DC2911">
        <w:rPr>
          <w:rFonts w:ascii="Times New Roman" w:eastAsia="Calibri" w:hAnsi="Times New Roman" w:cs="Times New Roman"/>
          <w:color w:val="4472C4" w:themeColor="accent1"/>
          <w:sz w:val="24"/>
          <w:szCs w:val="24"/>
        </w:rPr>
        <w:t xml:space="preserve"> is</w:t>
      </w:r>
      <w:r w:rsidR="00E9687E" w:rsidRPr="00820513">
        <w:rPr>
          <w:rFonts w:ascii="Times New Roman" w:eastAsia="Calibri" w:hAnsi="Times New Roman" w:cs="Times New Roman"/>
          <w:color w:val="4472C4" w:themeColor="accent1"/>
          <w:sz w:val="24"/>
          <w:szCs w:val="24"/>
        </w:rPr>
        <w:t xml:space="preserve"> to claim your social security benefits, call our office or click on the button below to schedule your </w:t>
      </w:r>
      <w:proofErr w:type="gramStart"/>
      <w:r w:rsidR="00E9687E" w:rsidRPr="00820513">
        <w:rPr>
          <w:rFonts w:ascii="Times New Roman" w:eastAsia="Calibri" w:hAnsi="Times New Roman" w:cs="Times New Roman"/>
          <w:color w:val="4472C4" w:themeColor="accent1"/>
          <w:sz w:val="24"/>
          <w:szCs w:val="24"/>
        </w:rPr>
        <w:t>15 minute</w:t>
      </w:r>
      <w:proofErr w:type="gramEnd"/>
      <w:r w:rsidR="00E9687E" w:rsidRPr="00820513">
        <w:rPr>
          <w:rFonts w:ascii="Times New Roman" w:eastAsia="Calibri" w:hAnsi="Times New Roman" w:cs="Times New Roman"/>
          <w:color w:val="4472C4" w:themeColor="accent1"/>
          <w:sz w:val="24"/>
          <w:szCs w:val="24"/>
        </w:rPr>
        <w:t xml:space="preserve"> complimentary phone call. Thank you for watching this webinar and I hope it answered most, if not all, of your questions.</w:t>
      </w:r>
    </w:p>
    <w:p w14:paraId="1E32B441" w14:textId="39C3A460" w:rsidR="00215F0E" w:rsidRPr="006D12F8" w:rsidRDefault="00215F0E" w:rsidP="00381D38">
      <w:pPr>
        <w:pStyle w:val="ListParagraph"/>
        <w:ind w:left="0" w:right="630"/>
        <w:rPr>
          <w:rFonts w:ascii="Times New Roman" w:hAnsi="Times New Roman" w:cs="Times New Roman"/>
          <w:iCs/>
          <w:color w:val="4472C4" w:themeColor="accent1"/>
          <w:sz w:val="24"/>
          <w:szCs w:val="20"/>
        </w:rPr>
      </w:pPr>
    </w:p>
    <w:p w14:paraId="2185CEC5" w14:textId="77E66E13" w:rsidR="00425A9F" w:rsidRDefault="00425A9F" w:rsidP="00381D38">
      <w:pPr>
        <w:pStyle w:val="ListParagraph"/>
        <w:ind w:left="0" w:right="630"/>
      </w:pPr>
      <w:r>
        <w:rPr>
          <w:rFonts w:ascii="Times New Roman" w:hAnsi="Times New Roman" w:cs="Times New Roman"/>
          <w:iCs/>
          <w:sz w:val="24"/>
          <w:szCs w:val="20"/>
        </w:rPr>
        <w:t xml:space="preserve">1. </w:t>
      </w:r>
      <w:hyperlink r:id="rId8" w:history="1">
        <w:r>
          <w:rPr>
            <w:rStyle w:val="Hyperlink"/>
          </w:rPr>
          <w:t>How Presidential Elections Affect the Stock Market | U.S. Bank</w:t>
        </w:r>
      </w:hyperlink>
    </w:p>
    <w:p w14:paraId="5E19BA20" w14:textId="2CC941D3" w:rsidR="00425A9F" w:rsidRDefault="00425A9F" w:rsidP="00381D38">
      <w:pPr>
        <w:pStyle w:val="ListParagraph"/>
        <w:ind w:left="0" w:right="630"/>
        <w:rPr>
          <w:rFonts w:ascii="Times New Roman" w:hAnsi="Times New Roman" w:cs="Times New Roman"/>
          <w:iCs/>
          <w:sz w:val="24"/>
          <w:szCs w:val="20"/>
        </w:rPr>
      </w:pPr>
      <w:r>
        <w:rPr>
          <w:rFonts w:ascii="Times New Roman" w:hAnsi="Times New Roman" w:cs="Times New Roman"/>
          <w:iCs/>
          <w:sz w:val="24"/>
          <w:szCs w:val="20"/>
        </w:rPr>
        <w:t xml:space="preserve">2. </w:t>
      </w:r>
      <w:hyperlink r:id="rId9" w:history="1">
        <w:r w:rsidRPr="00DF6F84">
          <w:rPr>
            <w:rStyle w:val="Hyperlink"/>
            <w:rFonts w:ascii="Times New Roman" w:hAnsi="Times New Roman" w:cs="Times New Roman"/>
            <w:iCs/>
            <w:sz w:val="24"/>
            <w:szCs w:val="24"/>
          </w:rPr>
          <w:t>https://www.bankrate.com/investing/long-term-capital-gains-tax/</w:t>
        </w:r>
      </w:hyperlink>
      <w:r w:rsidRPr="00DF6F84">
        <w:rPr>
          <w:rFonts w:ascii="Times New Roman" w:hAnsi="Times New Roman" w:cs="Times New Roman"/>
          <w:iCs/>
          <w:sz w:val="24"/>
          <w:szCs w:val="24"/>
        </w:rPr>
        <w:br/>
      </w:r>
    </w:p>
    <w:p w14:paraId="59D132A8" w14:textId="77777777" w:rsidR="00E948E9" w:rsidRDefault="00E948E9" w:rsidP="00381D38">
      <w:pPr>
        <w:pStyle w:val="ListParagraph"/>
        <w:ind w:left="0" w:right="630"/>
        <w:rPr>
          <w:rFonts w:ascii="Times New Roman" w:hAnsi="Times New Roman" w:cs="Times New Roman"/>
          <w:iCs/>
          <w:sz w:val="24"/>
          <w:szCs w:val="20"/>
        </w:rPr>
      </w:pPr>
    </w:p>
    <w:p w14:paraId="62462A18" w14:textId="77777777" w:rsidR="00E948E9" w:rsidRDefault="00E948E9" w:rsidP="00381D38">
      <w:pPr>
        <w:pStyle w:val="ListParagraph"/>
        <w:ind w:left="0" w:right="630"/>
        <w:rPr>
          <w:rFonts w:ascii="Times New Roman" w:hAnsi="Times New Roman" w:cs="Times New Roman"/>
          <w:iCs/>
          <w:sz w:val="24"/>
          <w:szCs w:val="20"/>
        </w:rPr>
      </w:pPr>
    </w:p>
    <w:p w14:paraId="73728F11" w14:textId="03B60D62" w:rsidR="009A4FF5" w:rsidRPr="0015249C" w:rsidRDefault="009A4FF5" w:rsidP="00381D38">
      <w:pPr>
        <w:pStyle w:val="ListParagraph"/>
        <w:ind w:left="0" w:right="630"/>
        <w:rPr>
          <w:rFonts w:ascii="Times New Roman" w:hAnsi="Times New Roman" w:cs="Times New Roman"/>
          <w:iCs/>
          <w:sz w:val="24"/>
          <w:szCs w:val="20"/>
        </w:rPr>
      </w:pPr>
    </w:p>
    <w:sectPr w:rsidR="009A4FF5" w:rsidRPr="0015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67A2"/>
    <w:multiLevelType w:val="hybridMultilevel"/>
    <w:tmpl w:val="0F9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8058A"/>
    <w:multiLevelType w:val="multilevel"/>
    <w:tmpl w:val="516CF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73A28"/>
    <w:multiLevelType w:val="hybridMultilevel"/>
    <w:tmpl w:val="6B9C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267BA"/>
    <w:multiLevelType w:val="hybridMultilevel"/>
    <w:tmpl w:val="0E8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BB"/>
    <w:rsid w:val="00012148"/>
    <w:rsid w:val="00021361"/>
    <w:rsid w:val="00023BCD"/>
    <w:rsid w:val="00035EF4"/>
    <w:rsid w:val="000519E2"/>
    <w:rsid w:val="000544A5"/>
    <w:rsid w:val="000714F2"/>
    <w:rsid w:val="00087F5B"/>
    <w:rsid w:val="00092DD4"/>
    <w:rsid w:val="000A1F97"/>
    <w:rsid w:val="000A496E"/>
    <w:rsid w:val="000C48FA"/>
    <w:rsid w:val="000E3D49"/>
    <w:rsid w:val="001167C8"/>
    <w:rsid w:val="0012482E"/>
    <w:rsid w:val="0015249C"/>
    <w:rsid w:val="0015374C"/>
    <w:rsid w:val="001634C7"/>
    <w:rsid w:val="00173003"/>
    <w:rsid w:val="0018480F"/>
    <w:rsid w:val="00184C6C"/>
    <w:rsid w:val="00196A6C"/>
    <w:rsid w:val="001A2F61"/>
    <w:rsid w:val="001C08B2"/>
    <w:rsid w:val="001C4EFF"/>
    <w:rsid w:val="001F5483"/>
    <w:rsid w:val="001F573A"/>
    <w:rsid w:val="00215F0E"/>
    <w:rsid w:val="0022760F"/>
    <w:rsid w:val="0024053E"/>
    <w:rsid w:val="00241B10"/>
    <w:rsid w:val="0027047B"/>
    <w:rsid w:val="002A1C75"/>
    <w:rsid w:val="002E1B84"/>
    <w:rsid w:val="002E687E"/>
    <w:rsid w:val="00300D91"/>
    <w:rsid w:val="00304FB8"/>
    <w:rsid w:val="00341E5A"/>
    <w:rsid w:val="003563BC"/>
    <w:rsid w:val="00381D38"/>
    <w:rsid w:val="00392C74"/>
    <w:rsid w:val="003A5DE8"/>
    <w:rsid w:val="003D27BB"/>
    <w:rsid w:val="003D77FA"/>
    <w:rsid w:val="003E0174"/>
    <w:rsid w:val="003E3AB9"/>
    <w:rsid w:val="00414483"/>
    <w:rsid w:val="004150BB"/>
    <w:rsid w:val="00415539"/>
    <w:rsid w:val="00423D32"/>
    <w:rsid w:val="00424748"/>
    <w:rsid w:val="00425A9F"/>
    <w:rsid w:val="00462DBD"/>
    <w:rsid w:val="004B76CD"/>
    <w:rsid w:val="004C43AF"/>
    <w:rsid w:val="004E0F84"/>
    <w:rsid w:val="005143DA"/>
    <w:rsid w:val="00574855"/>
    <w:rsid w:val="005B4F59"/>
    <w:rsid w:val="005C08F0"/>
    <w:rsid w:val="005C77DC"/>
    <w:rsid w:val="005E27D6"/>
    <w:rsid w:val="0060056B"/>
    <w:rsid w:val="0063301E"/>
    <w:rsid w:val="00633938"/>
    <w:rsid w:val="0064455B"/>
    <w:rsid w:val="00654664"/>
    <w:rsid w:val="0068227A"/>
    <w:rsid w:val="00687CF0"/>
    <w:rsid w:val="00692BC4"/>
    <w:rsid w:val="006A57FA"/>
    <w:rsid w:val="006D12F8"/>
    <w:rsid w:val="006D3FAE"/>
    <w:rsid w:val="006F253F"/>
    <w:rsid w:val="00753FAB"/>
    <w:rsid w:val="0076412A"/>
    <w:rsid w:val="00780988"/>
    <w:rsid w:val="00780D84"/>
    <w:rsid w:val="00787613"/>
    <w:rsid w:val="007A3ACF"/>
    <w:rsid w:val="007E06CD"/>
    <w:rsid w:val="007E302B"/>
    <w:rsid w:val="007E3E0E"/>
    <w:rsid w:val="007F05B6"/>
    <w:rsid w:val="007F1910"/>
    <w:rsid w:val="00820513"/>
    <w:rsid w:val="008556B0"/>
    <w:rsid w:val="00872F18"/>
    <w:rsid w:val="008A3656"/>
    <w:rsid w:val="008B3B95"/>
    <w:rsid w:val="008B479A"/>
    <w:rsid w:val="008B6B14"/>
    <w:rsid w:val="008C6EF8"/>
    <w:rsid w:val="008E0586"/>
    <w:rsid w:val="008E0728"/>
    <w:rsid w:val="008E3366"/>
    <w:rsid w:val="008E50A1"/>
    <w:rsid w:val="0091617F"/>
    <w:rsid w:val="009342E9"/>
    <w:rsid w:val="00942838"/>
    <w:rsid w:val="00964CFC"/>
    <w:rsid w:val="00967544"/>
    <w:rsid w:val="009712D8"/>
    <w:rsid w:val="009853E1"/>
    <w:rsid w:val="00996999"/>
    <w:rsid w:val="009A4FF5"/>
    <w:rsid w:val="009B1E25"/>
    <w:rsid w:val="009B2716"/>
    <w:rsid w:val="00A0467F"/>
    <w:rsid w:val="00A56041"/>
    <w:rsid w:val="00A804AA"/>
    <w:rsid w:val="00A809F3"/>
    <w:rsid w:val="00AA0E9E"/>
    <w:rsid w:val="00AD1B6A"/>
    <w:rsid w:val="00AE269C"/>
    <w:rsid w:val="00AE2874"/>
    <w:rsid w:val="00AE5B35"/>
    <w:rsid w:val="00B537DE"/>
    <w:rsid w:val="00B54344"/>
    <w:rsid w:val="00B60D99"/>
    <w:rsid w:val="00BC18D4"/>
    <w:rsid w:val="00BC7987"/>
    <w:rsid w:val="00C047CB"/>
    <w:rsid w:val="00C04ACA"/>
    <w:rsid w:val="00C5348B"/>
    <w:rsid w:val="00C6735C"/>
    <w:rsid w:val="00C75175"/>
    <w:rsid w:val="00C932ED"/>
    <w:rsid w:val="00CA4CA0"/>
    <w:rsid w:val="00CF3DC2"/>
    <w:rsid w:val="00D21245"/>
    <w:rsid w:val="00D35B6D"/>
    <w:rsid w:val="00D5046B"/>
    <w:rsid w:val="00D81166"/>
    <w:rsid w:val="00DB1A81"/>
    <w:rsid w:val="00DC2911"/>
    <w:rsid w:val="00DE5AD1"/>
    <w:rsid w:val="00DF6F84"/>
    <w:rsid w:val="00E00ACD"/>
    <w:rsid w:val="00E02E08"/>
    <w:rsid w:val="00E03005"/>
    <w:rsid w:val="00E15D38"/>
    <w:rsid w:val="00E25068"/>
    <w:rsid w:val="00E31086"/>
    <w:rsid w:val="00E32053"/>
    <w:rsid w:val="00E368DC"/>
    <w:rsid w:val="00E72EE3"/>
    <w:rsid w:val="00E86C87"/>
    <w:rsid w:val="00E948E9"/>
    <w:rsid w:val="00E94ED0"/>
    <w:rsid w:val="00E9687E"/>
    <w:rsid w:val="00EA1703"/>
    <w:rsid w:val="00EA1E7C"/>
    <w:rsid w:val="00F16968"/>
    <w:rsid w:val="00F23AE8"/>
    <w:rsid w:val="00F8186C"/>
    <w:rsid w:val="00FB6487"/>
    <w:rsid w:val="00FD3F6C"/>
    <w:rsid w:val="00FE2B00"/>
    <w:rsid w:val="00FE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3548"/>
  <w15:chartTrackingRefBased/>
  <w15:docId w15:val="{E9C71CA5-B44F-434A-A2E7-C62A03A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B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4144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253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11332206448158540msolistparagraph">
    <w:name w:val="m_2111332206448158540msolistparagraph"/>
    <w:basedOn w:val="Normal"/>
    <w:rsid w:val="004150BB"/>
    <w:pPr>
      <w:spacing w:before="100" w:beforeAutospacing="1" w:after="100" w:afterAutospacing="1"/>
    </w:pPr>
  </w:style>
  <w:style w:type="paragraph" w:styleId="ListParagraph">
    <w:name w:val="List Paragraph"/>
    <w:basedOn w:val="Normal"/>
    <w:uiPriority w:val="34"/>
    <w:qFormat/>
    <w:rsid w:val="004150BB"/>
    <w:pPr>
      <w:ind w:left="720"/>
      <w:contextualSpacing/>
    </w:pPr>
  </w:style>
  <w:style w:type="character" w:customStyle="1" w:styleId="Heading2Char">
    <w:name w:val="Heading 2 Char"/>
    <w:basedOn w:val="DefaultParagraphFont"/>
    <w:link w:val="Heading2"/>
    <w:uiPriority w:val="9"/>
    <w:rsid w:val="004144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21245"/>
    <w:rPr>
      <w:color w:val="0563C1" w:themeColor="hyperlink"/>
      <w:u w:val="single"/>
    </w:rPr>
  </w:style>
  <w:style w:type="character" w:styleId="UnresolvedMention">
    <w:name w:val="Unresolved Mention"/>
    <w:basedOn w:val="DefaultParagraphFont"/>
    <w:uiPriority w:val="99"/>
    <w:semiHidden/>
    <w:unhideWhenUsed/>
    <w:rsid w:val="0076412A"/>
    <w:rPr>
      <w:color w:val="605E5C"/>
      <w:shd w:val="clear" w:color="auto" w:fill="E1DFDD"/>
    </w:rPr>
  </w:style>
  <w:style w:type="character" w:customStyle="1" w:styleId="Heading3Char">
    <w:name w:val="Heading 3 Char"/>
    <w:basedOn w:val="DefaultParagraphFont"/>
    <w:link w:val="Heading3"/>
    <w:uiPriority w:val="9"/>
    <w:semiHidden/>
    <w:rsid w:val="006F253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F253F"/>
    <w:rPr>
      <w:b/>
      <w:bCs/>
    </w:rPr>
  </w:style>
  <w:style w:type="paragraph" w:styleId="NormalWeb">
    <w:name w:val="Normal (Web)"/>
    <w:basedOn w:val="Normal"/>
    <w:uiPriority w:val="99"/>
    <w:semiHidden/>
    <w:unhideWhenUsed/>
    <w:rsid w:val="006F253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F253F"/>
    <w:rPr>
      <w:i/>
      <w:iCs/>
    </w:rPr>
  </w:style>
  <w:style w:type="character" w:styleId="FollowedHyperlink">
    <w:name w:val="FollowedHyperlink"/>
    <w:basedOn w:val="DefaultParagraphFont"/>
    <w:uiPriority w:val="99"/>
    <w:semiHidden/>
    <w:unhideWhenUsed/>
    <w:rsid w:val="003E0174"/>
    <w:rPr>
      <w:color w:val="954F72" w:themeColor="followedHyperlink"/>
      <w:u w:val="single"/>
    </w:rPr>
  </w:style>
  <w:style w:type="paragraph" w:styleId="BalloonText">
    <w:name w:val="Balloon Text"/>
    <w:basedOn w:val="Normal"/>
    <w:link w:val="BalloonTextChar"/>
    <w:uiPriority w:val="99"/>
    <w:semiHidden/>
    <w:unhideWhenUsed/>
    <w:rsid w:val="00C53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2159">
      <w:bodyDiv w:val="1"/>
      <w:marLeft w:val="0"/>
      <w:marRight w:val="0"/>
      <w:marTop w:val="0"/>
      <w:marBottom w:val="0"/>
      <w:divBdr>
        <w:top w:val="none" w:sz="0" w:space="0" w:color="auto"/>
        <w:left w:val="none" w:sz="0" w:space="0" w:color="auto"/>
        <w:bottom w:val="none" w:sz="0" w:space="0" w:color="auto"/>
        <w:right w:val="none" w:sz="0" w:space="0" w:color="auto"/>
      </w:divBdr>
    </w:div>
    <w:div w:id="1027801826">
      <w:bodyDiv w:val="1"/>
      <w:marLeft w:val="0"/>
      <w:marRight w:val="0"/>
      <w:marTop w:val="0"/>
      <w:marBottom w:val="0"/>
      <w:divBdr>
        <w:top w:val="none" w:sz="0" w:space="0" w:color="auto"/>
        <w:left w:val="none" w:sz="0" w:space="0" w:color="auto"/>
        <w:bottom w:val="none" w:sz="0" w:space="0" w:color="auto"/>
        <w:right w:val="none" w:sz="0" w:space="0" w:color="auto"/>
      </w:divBdr>
    </w:div>
    <w:div w:id="1326736714">
      <w:bodyDiv w:val="1"/>
      <w:marLeft w:val="0"/>
      <w:marRight w:val="0"/>
      <w:marTop w:val="0"/>
      <w:marBottom w:val="0"/>
      <w:divBdr>
        <w:top w:val="none" w:sz="0" w:space="0" w:color="auto"/>
        <w:left w:val="none" w:sz="0" w:space="0" w:color="auto"/>
        <w:bottom w:val="none" w:sz="0" w:space="0" w:color="auto"/>
        <w:right w:val="none" w:sz="0" w:space="0" w:color="auto"/>
      </w:divBdr>
    </w:div>
    <w:div w:id="17801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bank.com/investing/financial-perspectives/market-news/how-presidential-elections-affect-the-stock-market.html" TargetMode="External"/><Relationship Id="rId3" Type="http://schemas.openxmlformats.org/officeDocument/2006/relationships/settings" Target="settings.xml"/><Relationship Id="rId7" Type="http://schemas.openxmlformats.org/officeDocument/2006/relationships/hyperlink" Target="https://www.bankrate.com/calculators/tax-planning/1040-form-tax-calculat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rp.org/money/taxes/info-2020/income-tax-brackets.html" TargetMode="External"/><Relationship Id="rId11" Type="http://schemas.openxmlformats.org/officeDocument/2006/relationships/theme" Target="theme/theme1.xml"/><Relationship Id="rId5" Type="http://schemas.openxmlformats.org/officeDocument/2006/relationships/hyperlink" Target="https://www.aarp.org/money/taxes/info-2020/income-tax-bracke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nkrate.com/investing/long-term-capital-gains-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Thorpy</dc:creator>
  <cp:keywords/>
  <dc:description/>
  <cp:lastModifiedBy>Samantha Maher</cp:lastModifiedBy>
  <cp:revision>2</cp:revision>
  <cp:lastPrinted>2020-12-23T17:42:00Z</cp:lastPrinted>
  <dcterms:created xsi:type="dcterms:W3CDTF">2020-12-23T20:06:00Z</dcterms:created>
  <dcterms:modified xsi:type="dcterms:W3CDTF">2020-12-23T20:06:00Z</dcterms:modified>
</cp:coreProperties>
</file>